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D624D5">
      <w:pPr>
        <w:keepNext w:val="0"/>
        <w:keepLines w:val="0"/>
        <w:widowControl/>
        <w:suppressLineNumbers w:val="0"/>
        <w:spacing w:line="240" w:lineRule="auto"/>
        <w:jc w:val="center"/>
        <w:rPr>
          <w:rFonts w:hint="eastAsia" w:ascii="宋体" w:hAnsi="宋体" w:eastAsia="宋体" w:cs="Times New Roman"/>
          <w:b/>
          <w:bCs/>
          <w:color w:val="030303"/>
          <w:kern w:val="0"/>
          <w:sz w:val="32"/>
          <w:szCs w:val="32"/>
          <w:shd w:val="clear" w:color="auto" w:fill="FFFFFF"/>
          <w:lang w:val="en-US" w:eastAsia="zh-CN" w:bidi="ar-SA"/>
        </w:rPr>
      </w:pPr>
      <w:r>
        <w:rPr>
          <w:rFonts w:hint="eastAsia" w:ascii="宋体" w:hAnsi="宋体" w:eastAsia="宋体" w:cs="Times New Roman"/>
          <w:b/>
          <w:bCs/>
          <w:color w:val="030303"/>
          <w:kern w:val="0"/>
          <w:sz w:val="32"/>
          <w:szCs w:val="32"/>
          <w:shd w:val="clear" w:color="auto" w:fill="FFFFFF"/>
          <w:lang w:val="en-US" w:eastAsia="zh-CN" w:bidi="ar-SA"/>
        </w:rPr>
        <w:t>南山公园和松岭公园设施维修改造工程</w:t>
      </w:r>
    </w:p>
    <w:p w14:paraId="13DFD798">
      <w:pPr>
        <w:keepNext w:val="0"/>
        <w:keepLines w:val="0"/>
        <w:widowControl/>
        <w:suppressLineNumbers w:val="0"/>
        <w:spacing w:line="240" w:lineRule="auto"/>
        <w:jc w:val="center"/>
        <w:rPr>
          <w:rFonts w:hint="default" w:ascii="微软雅黑" w:hAnsi="微软雅黑" w:eastAsia="微软雅黑" w:cs="微软雅黑"/>
          <w:color w:val="030303"/>
          <w:sz w:val="21"/>
          <w:szCs w:val="21"/>
          <w:shd w:val="clear" w:color="auto" w:fill="FFFFFF"/>
        </w:rPr>
      </w:pPr>
      <w:r>
        <w:rPr>
          <w:rFonts w:hint="eastAsia" w:ascii="宋体" w:hAnsi="宋体" w:eastAsia="宋体" w:cs="Times New Roman"/>
          <w:b/>
          <w:bCs/>
          <w:color w:val="030303"/>
          <w:kern w:val="0"/>
          <w:sz w:val="32"/>
          <w:szCs w:val="32"/>
          <w:shd w:val="clear" w:color="auto" w:fill="FFFFFF"/>
          <w:lang w:val="en-US" w:eastAsia="zh-CN" w:bidi="ar-SA"/>
        </w:rPr>
        <w:t>物资采购招标公告</w:t>
      </w:r>
    </w:p>
    <w:p w14:paraId="2B55D467">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根据相关法律法规等有关规定，宁国市永祥电力工程技术有限公司就</w:t>
      </w:r>
      <w:r>
        <w:rPr>
          <w:rFonts w:hint="eastAsia" w:ascii="宋体" w:hAnsi="宋体" w:eastAsia="宋体" w:cs="宋体"/>
          <w:sz w:val="24"/>
          <w:szCs w:val="24"/>
          <w:lang w:val="en-US" w:eastAsia="zh-CN"/>
        </w:rPr>
        <w:t>南山公园和松岭公园设施维修改造工程</w:t>
      </w:r>
      <w:r>
        <w:rPr>
          <w:rFonts w:hint="eastAsia" w:ascii="宋体" w:hAnsi="宋体" w:eastAsia="宋体" w:cs="宋体"/>
          <w:sz w:val="24"/>
          <w:szCs w:val="24"/>
        </w:rPr>
        <w:t>物资采购进行公开招标，欢迎国内合格的供应商前来投标。</w:t>
      </w:r>
    </w:p>
    <w:p w14:paraId="462D9676">
      <w:pPr>
        <w:spacing w:line="360" w:lineRule="auto"/>
        <w:rPr>
          <w:rFonts w:hint="eastAsia" w:ascii="宋体" w:hAnsi="宋体" w:eastAsia="宋体" w:cs="宋体"/>
          <w:sz w:val="24"/>
          <w:szCs w:val="24"/>
        </w:rPr>
      </w:pPr>
      <w:r>
        <w:rPr>
          <w:rFonts w:hint="eastAsia" w:ascii="宋体" w:hAnsi="宋体" w:eastAsia="宋体" w:cs="宋体"/>
          <w:sz w:val="24"/>
          <w:szCs w:val="24"/>
          <w:lang w:eastAsia="zh-CN"/>
        </w:rPr>
        <w:t>一、</w:t>
      </w:r>
      <w:r>
        <w:rPr>
          <w:rFonts w:hint="eastAsia" w:ascii="宋体" w:hAnsi="宋体" w:eastAsia="宋体" w:cs="宋体"/>
          <w:sz w:val="24"/>
          <w:szCs w:val="24"/>
        </w:rPr>
        <w:t>工程名称：</w:t>
      </w:r>
      <w:r>
        <w:rPr>
          <w:rFonts w:hint="eastAsia" w:ascii="宋体" w:hAnsi="宋体" w:eastAsia="宋体" w:cs="宋体"/>
          <w:sz w:val="24"/>
          <w:szCs w:val="24"/>
          <w:lang w:val="en-US" w:eastAsia="zh-CN"/>
        </w:rPr>
        <w:t>南山公园和松岭公园设施维修改造工程</w:t>
      </w:r>
    </w:p>
    <w:p w14:paraId="0A842570">
      <w:pPr>
        <w:spacing w:line="360" w:lineRule="auto"/>
        <w:rPr>
          <w:rFonts w:hint="default" w:ascii="宋体" w:hAnsi="宋体" w:eastAsia="宋体" w:cs="宋体"/>
          <w:sz w:val="24"/>
          <w:szCs w:val="24"/>
          <w:lang w:val="en-US" w:eastAsia="zh-CN"/>
        </w:rPr>
      </w:pPr>
      <w:r>
        <w:rPr>
          <w:rFonts w:hint="eastAsia" w:ascii="宋体" w:hAnsi="宋体" w:eastAsia="宋体" w:cs="宋体"/>
          <w:sz w:val="24"/>
          <w:szCs w:val="24"/>
        </w:rPr>
        <w:t>二、项目编号：</w:t>
      </w:r>
      <w:r>
        <w:rPr>
          <w:rFonts w:hint="eastAsia" w:ascii="宋体" w:hAnsi="宋体" w:eastAsia="宋体" w:cs="宋体"/>
          <w:sz w:val="24"/>
          <w:szCs w:val="24"/>
          <w:lang w:val="en-US" w:eastAsia="zh-CN"/>
        </w:rPr>
        <w:t xml:space="preserve"> /</w:t>
      </w:r>
    </w:p>
    <w:p w14:paraId="04CD9C57">
      <w:pPr>
        <w:spacing w:line="360" w:lineRule="auto"/>
        <w:rPr>
          <w:rFonts w:hint="eastAsia" w:ascii="宋体" w:hAnsi="宋体" w:eastAsia="宋体" w:cs="宋体"/>
          <w:sz w:val="24"/>
          <w:szCs w:val="24"/>
        </w:rPr>
      </w:pPr>
      <w:r>
        <w:rPr>
          <w:rFonts w:hint="eastAsia" w:ascii="宋体" w:hAnsi="宋体" w:eastAsia="宋体" w:cs="宋体"/>
          <w:sz w:val="24"/>
          <w:szCs w:val="24"/>
        </w:rPr>
        <w:t>三、招标项目概况：</w:t>
      </w:r>
    </w:p>
    <w:p w14:paraId="34C065C3">
      <w:pPr>
        <w:spacing w:line="360" w:lineRule="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LED显示屏</w:t>
      </w:r>
      <w:r>
        <w:rPr>
          <w:rFonts w:hint="eastAsia" w:ascii="宋体" w:hAnsi="宋体" w:eastAsia="宋体" w:cs="宋体"/>
          <w:sz w:val="24"/>
          <w:szCs w:val="24"/>
        </w:rPr>
        <w:t>：</w:t>
      </w:r>
    </w:p>
    <w:p w14:paraId="75279523">
      <w:pPr>
        <w:spacing w:line="360" w:lineRule="auto"/>
        <w:rPr>
          <w:rFonts w:hint="eastAsia" w:ascii="宋体" w:hAnsi="宋体" w:eastAsia="宋体" w:cs="宋体"/>
          <w:sz w:val="24"/>
          <w:szCs w:val="24"/>
        </w:rPr>
      </w:pPr>
      <w:r>
        <w:rPr>
          <w:rFonts w:hint="eastAsia" w:ascii="宋体" w:hAnsi="宋体" w:eastAsia="宋体" w:cs="宋体"/>
          <w:sz w:val="24"/>
          <w:szCs w:val="24"/>
        </w:rPr>
        <w:t>1.1采购内容</w:t>
      </w:r>
      <w:r>
        <w:rPr>
          <w:rFonts w:hint="eastAsia" w:ascii="宋体" w:hAnsi="宋体" w:eastAsia="宋体" w:cs="宋体"/>
          <w:sz w:val="24"/>
          <w:szCs w:val="24"/>
          <w:lang w:eastAsia="zh-CN"/>
        </w:rPr>
        <w:t>及</w:t>
      </w:r>
      <w:r>
        <w:rPr>
          <w:rFonts w:hint="eastAsia" w:ascii="宋体" w:hAnsi="宋体" w:eastAsia="宋体" w:cs="宋体"/>
          <w:sz w:val="24"/>
          <w:szCs w:val="24"/>
        </w:rPr>
        <w:t>要求（见下表）：</w:t>
      </w:r>
    </w:p>
    <w:tbl>
      <w:tblPr>
        <w:tblStyle w:val="12"/>
        <w:tblW w:w="5037" w:type="pct"/>
        <w:tblInd w:w="0" w:type="dxa"/>
        <w:tblLayout w:type="fixed"/>
        <w:tblCellMar>
          <w:top w:w="0" w:type="dxa"/>
          <w:left w:w="108" w:type="dxa"/>
          <w:bottom w:w="0" w:type="dxa"/>
          <w:right w:w="108" w:type="dxa"/>
        </w:tblCellMar>
      </w:tblPr>
      <w:tblGrid>
        <w:gridCol w:w="686"/>
        <w:gridCol w:w="1803"/>
        <w:gridCol w:w="3481"/>
        <w:gridCol w:w="831"/>
        <w:gridCol w:w="875"/>
        <w:gridCol w:w="1681"/>
      </w:tblGrid>
      <w:tr w14:paraId="01F3DF88">
        <w:tblPrEx>
          <w:tblCellMar>
            <w:top w:w="0" w:type="dxa"/>
            <w:left w:w="108" w:type="dxa"/>
            <w:bottom w:w="0" w:type="dxa"/>
            <w:right w:w="108" w:type="dxa"/>
          </w:tblCellMar>
        </w:tblPrEx>
        <w:trPr>
          <w:trHeight w:val="585"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8D3E1">
            <w:pPr>
              <w:widowControl/>
              <w:jc w:val="center"/>
              <w:textAlignment w:val="center"/>
              <w:rPr>
                <w:rFonts w:ascii="黑体" w:hAnsi="黑体" w:eastAsia="黑体" w:cs="黑体"/>
                <w:b/>
                <w:bCs/>
                <w:color w:val="000000"/>
                <w:sz w:val="22"/>
                <w:szCs w:val="22"/>
              </w:rPr>
            </w:pPr>
            <w:r>
              <w:rPr>
                <w:rFonts w:hint="eastAsia" w:ascii="黑体" w:hAnsi="黑体" w:eastAsia="黑体" w:cs="黑体"/>
                <w:b/>
                <w:bCs/>
                <w:color w:val="000000"/>
                <w:kern w:val="0"/>
                <w:sz w:val="22"/>
                <w:szCs w:val="22"/>
                <w:lang w:bidi="ar"/>
              </w:rPr>
              <w:t>序号</w:t>
            </w:r>
          </w:p>
        </w:tc>
        <w:tc>
          <w:tcPr>
            <w:tcW w:w="963" w:type="pct"/>
            <w:tcBorders>
              <w:top w:val="single" w:color="000000" w:sz="4" w:space="0"/>
              <w:left w:val="single" w:color="000000" w:sz="4" w:space="0"/>
              <w:bottom w:val="single" w:color="auto" w:sz="4" w:space="0"/>
              <w:right w:val="single" w:color="000000" w:sz="4" w:space="0"/>
            </w:tcBorders>
            <w:shd w:val="clear" w:color="auto" w:fill="auto"/>
            <w:vAlign w:val="center"/>
          </w:tcPr>
          <w:p w14:paraId="323BD1FE">
            <w:pPr>
              <w:widowControl/>
              <w:jc w:val="center"/>
              <w:textAlignment w:val="center"/>
              <w:rPr>
                <w:rFonts w:ascii="黑体" w:hAnsi="黑体" w:eastAsia="黑体" w:cs="黑体"/>
                <w:b/>
                <w:bCs/>
                <w:color w:val="000000"/>
                <w:sz w:val="22"/>
                <w:szCs w:val="22"/>
              </w:rPr>
            </w:pPr>
            <w:r>
              <w:rPr>
                <w:rFonts w:hint="eastAsia" w:ascii="黑体" w:hAnsi="黑体" w:eastAsia="黑体" w:cs="黑体"/>
                <w:b/>
                <w:bCs/>
                <w:color w:val="000000"/>
                <w:kern w:val="0"/>
                <w:sz w:val="22"/>
                <w:szCs w:val="22"/>
                <w:lang w:bidi="ar"/>
              </w:rPr>
              <w:t>产品名称</w:t>
            </w:r>
          </w:p>
        </w:tc>
        <w:tc>
          <w:tcPr>
            <w:tcW w:w="1860" w:type="pct"/>
            <w:tcBorders>
              <w:top w:val="single" w:color="000000" w:sz="4" w:space="0"/>
              <w:left w:val="single" w:color="000000" w:sz="4" w:space="0"/>
              <w:bottom w:val="single" w:color="auto" w:sz="4" w:space="0"/>
              <w:right w:val="single" w:color="000000" w:sz="4" w:space="0"/>
            </w:tcBorders>
            <w:shd w:val="clear" w:color="auto" w:fill="auto"/>
            <w:vAlign w:val="center"/>
          </w:tcPr>
          <w:p w14:paraId="4A74600F">
            <w:pPr>
              <w:widowControl/>
              <w:jc w:val="center"/>
              <w:textAlignment w:val="center"/>
              <w:rPr>
                <w:rFonts w:ascii="黑体" w:hAnsi="黑体" w:eastAsia="黑体" w:cs="黑体"/>
                <w:b/>
                <w:bCs/>
                <w:color w:val="000000"/>
                <w:sz w:val="22"/>
                <w:szCs w:val="22"/>
              </w:rPr>
            </w:pPr>
            <w:r>
              <w:rPr>
                <w:rFonts w:hint="eastAsia" w:ascii="黑体" w:hAnsi="黑体" w:eastAsia="黑体" w:cs="黑体"/>
                <w:b/>
                <w:bCs/>
                <w:color w:val="000000"/>
                <w:kern w:val="0"/>
                <w:sz w:val="22"/>
                <w:szCs w:val="22"/>
                <w:lang w:bidi="ar"/>
              </w:rPr>
              <w:t>规格型号</w:t>
            </w:r>
          </w:p>
        </w:tc>
        <w:tc>
          <w:tcPr>
            <w:tcW w:w="444"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60315E40">
            <w:pPr>
              <w:widowControl/>
              <w:jc w:val="center"/>
              <w:textAlignment w:val="center"/>
              <w:rPr>
                <w:rFonts w:ascii="黑体" w:hAnsi="黑体" w:eastAsia="黑体" w:cs="黑体"/>
                <w:b/>
                <w:bCs/>
                <w:color w:val="000000"/>
                <w:sz w:val="22"/>
                <w:szCs w:val="22"/>
              </w:rPr>
            </w:pPr>
            <w:r>
              <w:rPr>
                <w:rFonts w:hint="eastAsia" w:ascii="黑体" w:hAnsi="黑体" w:eastAsia="黑体" w:cs="黑体"/>
                <w:b/>
                <w:bCs/>
                <w:color w:val="000000"/>
                <w:kern w:val="0"/>
                <w:sz w:val="22"/>
                <w:szCs w:val="22"/>
                <w:lang w:bidi="ar"/>
              </w:rPr>
              <w:t>单位</w:t>
            </w:r>
          </w:p>
        </w:tc>
        <w:tc>
          <w:tcPr>
            <w:tcW w:w="467" w:type="pct"/>
            <w:tcBorders>
              <w:top w:val="single" w:color="000000" w:sz="4" w:space="0"/>
              <w:left w:val="single" w:color="000000" w:sz="4" w:space="0"/>
              <w:bottom w:val="single" w:color="auto" w:sz="4" w:space="0"/>
              <w:right w:val="single" w:color="auto" w:sz="4" w:space="0"/>
            </w:tcBorders>
            <w:shd w:val="clear" w:color="auto" w:fill="auto"/>
            <w:noWrap/>
            <w:vAlign w:val="center"/>
          </w:tcPr>
          <w:p w14:paraId="052D6D3A">
            <w:pPr>
              <w:widowControl/>
              <w:jc w:val="center"/>
              <w:textAlignment w:val="center"/>
              <w:rPr>
                <w:rFonts w:ascii="黑体" w:hAnsi="黑体" w:eastAsia="黑体" w:cs="黑体"/>
                <w:b/>
                <w:bCs/>
                <w:color w:val="000000"/>
                <w:sz w:val="22"/>
                <w:szCs w:val="22"/>
              </w:rPr>
            </w:pPr>
            <w:r>
              <w:rPr>
                <w:rFonts w:hint="eastAsia" w:ascii="黑体" w:hAnsi="黑体" w:eastAsia="黑体" w:cs="黑体"/>
                <w:b/>
                <w:bCs/>
                <w:color w:val="000000"/>
                <w:kern w:val="0"/>
                <w:sz w:val="22"/>
                <w:szCs w:val="22"/>
                <w:lang w:bidi="ar"/>
              </w:rPr>
              <w:t>数量</w:t>
            </w:r>
          </w:p>
        </w:tc>
        <w:tc>
          <w:tcPr>
            <w:tcW w:w="898" w:type="pct"/>
            <w:tcBorders>
              <w:top w:val="single" w:color="auto" w:sz="4" w:space="0"/>
              <w:left w:val="single" w:color="auto" w:sz="4" w:space="0"/>
              <w:bottom w:val="single" w:color="auto" w:sz="4" w:space="0"/>
              <w:right w:val="single" w:color="auto" w:sz="4" w:space="0"/>
            </w:tcBorders>
            <w:shd w:val="clear" w:color="auto" w:fill="auto"/>
            <w:vAlign w:val="center"/>
          </w:tcPr>
          <w:p w14:paraId="6ACCC42E">
            <w:pPr>
              <w:widowControl/>
              <w:jc w:val="center"/>
              <w:textAlignment w:val="center"/>
              <w:rPr>
                <w:rFonts w:ascii="黑体" w:hAnsi="黑体" w:eastAsia="黑体" w:cs="黑体"/>
                <w:b/>
                <w:bCs/>
                <w:color w:val="000000"/>
                <w:kern w:val="0"/>
                <w:sz w:val="22"/>
                <w:szCs w:val="22"/>
                <w:lang w:bidi="ar"/>
              </w:rPr>
            </w:pPr>
            <w:r>
              <w:rPr>
                <w:rFonts w:hint="eastAsia" w:ascii="黑体" w:hAnsi="黑体" w:eastAsia="黑体" w:cs="黑体"/>
                <w:b/>
                <w:bCs/>
                <w:color w:val="000000"/>
                <w:kern w:val="0"/>
                <w:sz w:val="22"/>
                <w:szCs w:val="22"/>
                <w:lang w:bidi="ar"/>
              </w:rPr>
              <w:t>备注</w:t>
            </w:r>
          </w:p>
        </w:tc>
      </w:tr>
      <w:tr w14:paraId="6FD438D7">
        <w:tblPrEx>
          <w:tblCellMar>
            <w:top w:w="0" w:type="dxa"/>
            <w:left w:w="108" w:type="dxa"/>
            <w:bottom w:w="0" w:type="dxa"/>
            <w:right w:w="108" w:type="dxa"/>
          </w:tblCellMar>
        </w:tblPrEx>
        <w:trPr>
          <w:trHeight w:val="1474" w:hRule="atLeast"/>
        </w:trPr>
        <w:tc>
          <w:tcPr>
            <w:tcW w:w="366"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1ADF63B0">
            <w:pPr>
              <w:widowControl/>
              <w:jc w:val="center"/>
              <w:textAlignment w:val="center"/>
              <w:rPr>
                <w:rFonts w:ascii="黑体" w:hAnsi="黑体" w:eastAsia="黑体" w:cs="黑体"/>
                <w:color w:val="000000"/>
                <w:kern w:val="0"/>
                <w:sz w:val="24"/>
                <w:lang w:bidi="ar"/>
              </w:rPr>
            </w:pPr>
            <w:r>
              <w:rPr>
                <w:rFonts w:hint="eastAsia" w:ascii="宋体" w:hAnsi="宋体" w:eastAsia="宋体" w:cs="宋体"/>
                <w:color w:val="000000"/>
                <w:kern w:val="0"/>
                <w:szCs w:val="21"/>
                <w:lang w:bidi="ar"/>
              </w:rPr>
              <w:t>1</w:t>
            </w:r>
          </w:p>
        </w:tc>
        <w:tc>
          <w:tcPr>
            <w:tcW w:w="963" w:type="pct"/>
            <w:tcBorders>
              <w:top w:val="single" w:color="auto" w:sz="4" w:space="0"/>
              <w:left w:val="single" w:color="auto" w:sz="4" w:space="0"/>
              <w:bottom w:val="single" w:color="auto" w:sz="4" w:space="0"/>
              <w:right w:val="single" w:color="auto" w:sz="4" w:space="0"/>
            </w:tcBorders>
            <w:shd w:val="clear" w:color="auto" w:fill="auto"/>
            <w:vAlign w:val="center"/>
          </w:tcPr>
          <w:p w14:paraId="240A2894">
            <w:pPr>
              <w:jc w:val="center"/>
              <w:rPr>
                <w:rFonts w:ascii="Calibri" w:hAnsi="Calibri" w:eastAsia="宋体" w:cs="Times New Roman"/>
                <w:szCs w:val="21"/>
              </w:rPr>
            </w:pPr>
            <w:r>
              <w:rPr>
                <w:rFonts w:hint="eastAsia" w:ascii="宋体" w:hAnsi="宋体" w:eastAsia="宋体" w:cs="宋体"/>
                <w:i w:val="0"/>
                <w:iCs w:val="0"/>
                <w:color w:val="000000"/>
                <w:kern w:val="0"/>
                <w:sz w:val="21"/>
                <w:szCs w:val="21"/>
                <w:u w:val="none"/>
                <w:lang w:val="en-US" w:eastAsia="zh-CN" w:bidi="ar"/>
              </w:rPr>
              <w:t>LED显示屏</w:t>
            </w:r>
          </w:p>
        </w:tc>
        <w:tc>
          <w:tcPr>
            <w:tcW w:w="1860" w:type="pct"/>
            <w:tcBorders>
              <w:top w:val="single" w:color="auto" w:sz="4" w:space="0"/>
              <w:left w:val="single" w:color="auto" w:sz="4" w:space="0"/>
              <w:bottom w:val="single" w:color="auto" w:sz="4" w:space="0"/>
              <w:right w:val="single" w:color="auto" w:sz="4" w:space="0"/>
            </w:tcBorders>
            <w:shd w:val="clear" w:color="auto" w:fill="auto"/>
            <w:vAlign w:val="center"/>
          </w:tcPr>
          <w:p w14:paraId="0E53C270">
            <w:pPr>
              <w:jc w:val="center"/>
              <w:rPr>
                <w:rFonts w:hint="eastAsia" w:ascii="Calibri" w:hAnsi="Calibri" w:eastAsia="宋体" w:cs="Times New Roman"/>
                <w:szCs w:val="21"/>
                <w:lang w:eastAsia="zh-CN"/>
              </w:rPr>
            </w:pPr>
            <w:r>
              <w:rPr>
                <w:rFonts w:hint="eastAsia" w:ascii="Calibri" w:hAnsi="Calibri" w:eastAsia="宋体" w:cs="Times New Roman"/>
                <w:szCs w:val="21"/>
                <w:highlight w:val="none"/>
                <w:lang w:eastAsia="zh-CN"/>
              </w:rPr>
              <w:t>主要技术参数见下表</w:t>
            </w:r>
          </w:p>
        </w:tc>
        <w:tc>
          <w:tcPr>
            <w:tcW w:w="44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D1C1DA">
            <w:pPr>
              <w:jc w:val="center"/>
              <w:rPr>
                <w:rFonts w:hint="eastAsia" w:ascii="Calibri" w:hAnsi="Calibri" w:eastAsia="宋体" w:cs="Times New Roman"/>
                <w:szCs w:val="21"/>
                <w:lang w:val="en-US" w:eastAsia="zh-CN"/>
              </w:rPr>
            </w:pPr>
            <w:r>
              <w:rPr>
                <w:rFonts w:hint="eastAsia" w:ascii="Calibri" w:hAnsi="Calibri" w:eastAsia="宋体" w:cs="Times New Roman"/>
                <w:szCs w:val="21"/>
                <w:lang w:val="en-US" w:eastAsia="zh-CN"/>
              </w:rPr>
              <w:t>套</w:t>
            </w:r>
          </w:p>
        </w:tc>
        <w:tc>
          <w:tcPr>
            <w:tcW w:w="4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0E7EB1">
            <w:pPr>
              <w:jc w:val="center"/>
              <w:rPr>
                <w:rFonts w:hint="default" w:ascii="Calibri" w:hAnsi="Calibri" w:eastAsia="宋体" w:cs="Times New Roman"/>
                <w:szCs w:val="21"/>
                <w:lang w:val="en-US" w:eastAsia="zh-CN"/>
              </w:rPr>
            </w:pPr>
            <w:r>
              <w:rPr>
                <w:rFonts w:hint="eastAsia" w:ascii="Calibri" w:hAnsi="Calibri" w:eastAsia="宋体" w:cs="Times New Roman"/>
                <w:szCs w:val="21"/>
                <w:lang w:val="en-US" w:eastAsia="zh-CN"/>
              </w:rPr>
              <w:t>1</w:t>
            </w:r>
          </w:p>
        </w:tc>
        <w:tc>
          <w:tcPr>
            <w:tcW w:w="898" w:type="pct"/>
            <w:tcBorders>
              <w:top w:val="single" w:color="auto" w:sz="4" w:space="0"/>
              <w:left w:val="single" w:color="auto" w:sz="4" w:space="0"/>
              <w:bottom w:val="single" w:color="auto" w:sz="4" w:space="0"/>
              <w:right w:val="single" w:color="auto" w:sz="4" w:space="0"/>
            </w:tcBorders>
            <w:shd w:val="clear" w:color="auto" w:fill="auto"/>
            <w:vAlign w:val="center"/>
          </w:tcPr>
          <w:p w14:paraId="2E81D4F8">
            <w:pPr>
              <w:jc w:val="center"/>
              <w:rPr>
                <w:rFonts w:ascii="Calibri" w:hAnsi="Calibri" w:eastAsia="宋体" w:cs="Times New Roman"/>
                <w:szCs w:val="21"/>
                <w:highlight w:val="green"/>
              </w:rPr>
            </w:pPr>
          </w:p>
          <w:p w14:paraId="35A8EE7F">
            <w:pPr>
              <w:jc w:val="both"/>
              <w:rPr>
                <w:rFonts w:hint="eastAsia" w:ascii="Calibri" w:hAnsi="Calibri" w:eastAsia="宋体" w:cs="Times New Roman"/>
                <w:color w:val="auto"/>
                <w:szCs w:val="21"/>
                <w:highlight w:val="none"/>
                <w:lang w:eastAsia="zh-CN"/>
              </w:rPr>
            </w:pPr>
            <w:r>
              <w:rPr>
                <w:rFonts w:hint="eastAsia" w:ascii="Calibri" w:hAnsi="Calibri" w:eastAsia="宋体" w:cs="Times New Roman"/>
                <w:color w:val="auto"/>
                <w:szCs w:val="21"/>
                <w:highlight w:val="none"/>
                <w:lang w:eastAsia="zh-CN"/>
              </w:rPr>
              <w:t>含</w:t>
            </w:r>
            <w:r>
              <w:rPr>
                <w:rFonts w:hint="eastAsia" w:ascii="宋体" w:hAnsi="宋体" w:eastAsia="宋体" w:cs="宋体"/>
                <w:i w:val="0"/>
                <w:iCs w:val="0"/>
                <w:color w:val="auto"/>
                <w:kern w:val="0"/>
                <w:sz w:val="21"/>
                <w:szCs w:val="21"/>
                <w:u w:val="none"/>
                <w:lang w:val="en-US" w:eastAsia="zh-CN" w:bidi="ar"/>
              </w:rPr>
              <w:t>户外全彩LED</w:t>
            </w:r>
            <w:r>
              <w:rPr>
                <w:rFonts w:hint="eastAsia" w:ascii="宋体" w:hAnsi="宋体" w:eastAsia="宋体" w:cs="宋体"/>
                <w:i w:val="0"/>
                <w:iCs w:val="0"/>
                <w:color w:val="auto"/>
                <w:kern w:val="0"/>
                <w:sz w:val="21"/>
                <w:szCs w:val="21"/>
                <w:highlight w:val="none"/>
                <w:u w:val="none"/>
                <w:lang w:val="en-US" w:eastAsia="zh-CN" w:bidi="ar"/>
              </w:rPr>
              <w:t>、电源设备、视频处理设备等下表中设备</w:t>
            </w:r>
            <w:r>
              <w:rPr>
                <w:rFonts w:hint="eastAsia" w:ascii="宋体" w:hAnsi="宋体" w:eastAsia="宋体" w:cs="宋体"/>
                <w:i w:val="0"/>
                <w:iCs w:val="0"/>
                <w:color w:val="0000FF"/>
                <w:kern w:val="0"/>
                <w:sz w:val="21"/>
                <w:szCs w:val="21"/>
                <w:highlight w:val="none"/>
                <w:u w:val="none"/>
                <w:lang w:val="en-US" w:eastAsia="zh-CN" w:bidi="ar"/>
              </w:rPr>
              <w:t>。</w:t>
            </w:r>
            <w:r>
              <w:rPr>
                <w:rFonts w:hint="eastAsia" w:ascii="宋体" w:hAnsi="宋体" w:eastAsia="宋体" w:cs="宋体"/>
                <w:i w:val="0"/>
                <w:iCs w:val="0"/>
                <w:color w:val="FF0000"/>
                <w:kern w:val="0"/>
                <w:sz w:val="21"/>
                <w:szCs w:val="21"/>
                <w:highlight w:val="none"/>
                <w:u w:val="none"/>
                <w:lang w:val="en-US" w:eastAsia="zh-CN" w:bidi="ar"/>
              </w:rPr>
              <w:t>报价按下表明细分项报价。</w:t>
            </w:r>
          </w:p>
          <w:p w14:paraId="19E83F51">
            <w:pPr>
              <w:jc w:val="center"/>
              <w:rPr>
                <w:rFonts w:ascii="Calibri" w:hAnsi="Calibri" w:eastAsia="宋体" w:cs="Times New Roman"/>
                <w:szCs w:val="21"/>
                <w:highlight w:val="green"/>
              </w:rPr>
            </w:pPr>
          </w:p>
        </w:tc>
      </w:tr>
    </w:tbl>
    <w:p w14:paraId="56F6288B">
      <w:pPr>
        <w:spacing w:line="360" w:lineRule="auto"/>
        <w:rPr>
          <w:rFonts w:hint="eastAsia" w:ascii="宋体" w:hAnsi="宋体" w:eastAsia="宋体" w:cs="宋体"/>
          <w:sz w:val="24"/>
          <w:szCs w:val="24"/>
          <w:lang w:eastAsia="zh-CN"/>
        </w:rPr>
      </w:pPr>
    </w:p>
    <w:tbl>
      <w:tblPr>
        <w:tblStyle w:val="12"/>
        <w:tblW w:w="103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9"/>
        <w:gridCol w:w="2687"/>
        <w:gridCol w:w="4523"/>
        <w:gridCol w:w="807"/>
        <w:gridCol w:w="1071"/>
        <w:gridCol w:w="638"/>
      </w:tblGrid>
      <w:tr w14:paraId="531A9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jc w:val="center"/>
        </w:trPr>
        <w:tc>
          <w:tcPr>
            <w:tcW w:w="1036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BB65F">
            <w:pPr>
              <w:spacing w:line="360" w:lineRule="auto"/>
              <w:jc w:val="center"/>
              <w:rPr>
                <w:rFonts w:hint="eastAsia" w:ascii="宋体" w:hAnsi="宋体" w:eastAsia="宋体" w:cs="宋体"/>
                <w:b/>
                <w:bCs/>
                <w:i w:val="0"/>
                <w:iCs w:val="0"/>
                <w:color w:val="000000"/>
                <w:sz w:val="21"/>
                <w:szCs w:val="21"/>
                <w:u w:val="none"/>
                <w:lang w:val="en-US" w:eastAsia="zh-CN"/>
              </w:rPr>
            </w:pPr>
            <w:r>
              <w:rPr>
                <w:rFonts w:hint="eastAsia" w:ascii="宋体" w:hAnsi="宋体" w:eastAsia="宋体" w:cs="宋体"/>
                <w:sz w:val="24"/>
                <w:szCs w:val="24"/>
                <w:lang w:eastAsia="zh-CN"/>
              </w:rPr>
              <w:t>附：</w:t>
            </w:r>
            <w:r>
              <w:rPr>
                <w:rFonts w:hint="eastAsia" w:ascii="宋体" w:hAnsi="宋体" w:eastAsia="宋体" w:cs="宋体"/>
                <w:b/>
                <w:bCs/>
                <w:i w:val="0"/>
                <w:iCs w:val="0"/>
                <w:color w:val="000000"/>
                <w:sz w:val="21"/>
                <w:szCs w:val="21"/>
                <w:u w:val="none"/>
                <w:lang w:val="en-US" w:eastAsia="zh-CN"/>
              </w:rPr>
              <w:t>技术参数</w:t>
            </w:r>
          </w:p>
        </w:tc>
      </w:tr>
      <w:tr w14:paraId="168D9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01C5C5">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6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39D0C3">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设备名称</w:t>
            </w:r>
          </w:p>
        </w:tc>
        <w:tc>
          <w:tcPr>
            <w:tcW w:w="45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5696F2">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技术参数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9F73CC">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34872">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945051">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6CFEC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41B3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41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户外全彩LED</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7BD2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1、像素点间距：≤5mm；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2、单元板分辨率：≥2048 Dots；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3、刷新率：≥4200Hz，支持通过配套控制软件调节刷新率设置选项；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4、整屏平整度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≤0.05mm；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5、白平衡亮度：0-6500cd/㎡可调，亮度调节：0-100%亮度可调，256级手动/自动调节，屏幕亮度具有随环境照度的变化任意调整功能，亮度均匀性≥99%；</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6、色温800K-20000K可调；白平衡状态下色温在6500K±5%；色温为6500K时，100%75%50%25%档电平白场调节色温误差≤100K；</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7、水平视角≥172°，垂直视角≥172°；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8、对比度≥10000：1；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9、灰度等级≥16bit，红绿蓝各256级，可达65536级；采用EPWM 灰阶控制技术提升低灰视觉效果，100%亮度时，16bit灰度；70%亮度，16bit灰度；50%亮度，16bit灰度；20%亮度，14bit灰度，显示画面无单列或单行像素失控现象；支持0-100%亮度时，8-16bits灰度自定义设置；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10、峰值功耗≤500W/m²；平均功耗≤160W/m²；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11、供电电源：在4.2*（1±10%）VDC～4.5*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（1±10%）VDC范围内能正常工作；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12、输入电压：支持宽压输入 在96-264VAC，支持窄压输入在200-240VAC，在该范围内能正常工作；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13、防护性能：具有防静电、防电磁干扰、防腐蚀、防霉菌、防虫、防潮、抗震动、抗雷击等功能；具有电源过压、过流、断电保护、分布上电措施、防护等级达到IP65；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14、为不影响屏体周边人员的健康，LED显示屏在正常工作中，显示屏1m范围内，前后左右4个位置噪音不大于1.4dB；LED显示屏观看舒适度符合：“人眼视觉舒适度(VICO)1级，基本无疲劳感；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15、LED显示屏的灯管耐焊耐热：灯珠引脚无氧化,焊接正常,灯珠胶体正常,点亮正常；灯管抗静电(ESD)测试：HBM模式:ESD&gt;2000V,灯珠点亮无异常；灯管红墨水试验：纯红墨水常温浸泡24h,无渗透,灯管气密性良好；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16、LED显示屏支持DVI、VGA、SDI输入、支持HDMI视频输入、支持视频PAL/NTSC制式自适应、支持复合视频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信号、支持USB输入、支持IP输入、支持CVBS/DP/HDBASE输入、支持光纤/网络等接口输入；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17、防电击等级依据GB4943.1标准，使用基本绝缘作为基本安全防护，同时使用保护连接和保护接地作为附加安全防护，达到防电击保护I类设备；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18、产品采用高端芯片，可智能调节正常工作与睡眠状态下的节能效果（动态节能，智能息屏），开启智能节电功能比没有开启，节能55%以上；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19、长时间没有使用屏体，屏体自动切入除湿模式，通过预热灯珠，蒸发掉灯珠内部湿气，使屏体从10%到100%亮度逐步显示，保护LED灯；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具有SELV电路，在SELV电路中任何两个导体之间或任何一个这样的导体和地之间的电压的限值为：正常工作条件下，不超过42.4V交流峰值或60V直流值单一故障条件下，在200ms后不超过42.4V（30V有效值）交流峰值或60V直流值，并且在200ms内其极限值不超过71V（50V有效值）交流峰值或120V直流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21、LED显示屏保护地端子有标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支持手机、平板可视化控制LED大屏，切换播放内容，定制播放计划等；支持手机添加LOGO、时间、日期、文字标语、滚动字幕、图片、视频窗口；支持分屏操作。支持任意比例拼接素材和多图层叠加；支持无线遥控、手机遥控，一键切换视频；支持与智能播控软件一键IP连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23、显示屏使用的材料及元器件符合《SJ/T11363-2016电子信息产品中有毒有害物质的限定要求》要求；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24、支持鬼影消除、首行暗亮消除、低灰偏色补偿、低灰均匀性、低灰横条纹消除、慢速开启、十字架消除、去坏点、毛毛虫消除、余辉消除、亮度缓慢变亮功能；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25、保证产品使用安全，静电电压衰减期（±1000-±100V）≤2S；摩擦起电电压|V|≤100V；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26、保证产品信息传输稳定性，辐射干扰和传导干扰，符合GB/T9254-2021 ClassB限值要求；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27、保证产品来源正规；</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28、防止LED光源对人眼的伤害，LED电子显示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屏产品通过TUV莱茵低蓝光认证，无视网膜蓝光危害；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29、保证产品的绿色环保性能，对人体不产生危害；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30、保证消除产品中的铅、汞、镉、六价铬、多溴联苯和多溴二苯醚，利于人体健康及环境保护。</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561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74E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F73EF">
            <w:pPr>
              <w:spacing w:line="240" w:lineRule="auto"/>
              <w:jc w:val="center"/>
              <w:rPr>
                <w:rFonts w:hint="eastAsia" w:ascii="宋体" w:hAnsi="宋体" w:eastAsia="宋体" w:cs="宋体"/>
                <w:i w:val="0"/>
                <w:iCs w:val="0"/>
                <w:color w:val="000000"/>
                <w:sz w:val="21"/>
                <w:szCs w:val="21"/>
                <w:u w:val="none"/>
              </w:rPr>
            </w:pPr>
          </w:p>
        </w:tc>
      </w:tr>
      <w:tr w14:paraId="7658A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6944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4FB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电源设备</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01D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1、显示屏开关电源 工作温度 -40℃-+70℃；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2、低温启动特性 -40℃ ，220Vac 输入,热机 5 分钟，带载 40A，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3、储存温度：-40℃-85℃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4、工作湿度：20%RH-90%RH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5、储存湿度：10%RH-95%RH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6、散热方式：自然对流散热，需紧贴客户金属机箱外壳散热</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7、大气压：70-106KPa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8、可用最高海拔高度：3000m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9、输入端子： 9.5mm-5P pitch terminal, L N FG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10、输出端子：V+ V+ V+ COM COM COM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11、短路保护：可长期短路，消除短路后自动恢复工作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12、过流保护：48~76A 故障消除后自动恢复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13、工作额定输出电压；V1:+4.5Vdc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14、额定输出电流范围：0～40.0A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15、稳压精度：±2%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16、负载调整率：±2%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17、电压过冲：&lt;5.0%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18、启动时间：3Sec.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19、纹波噪声：&lt;200mV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20、容性负载至少：5000uF</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59F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0DF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0262B">
            <w:pPr>
              <w:spacing w:line="240" w:lineRule="auto"/>
              <w:jc w:val="center"/>
              <w:rPr>
                <w:rFonts w:hint="eastAsia" w:ascii="宋体" w:hAnsi="宋体" w:eastAsia="宋体" w:cs="宋体"/>
                <w:i w:val="0"/>
                <w:iCs w:val="0"/>
                <w:color w:val="000000"/>
                <w:sz w:val="21"/>
                <w:szCs w:val="21"/>
                <w:u w:val="none"/>
              </w:rPr>
            </w:pPr>
          </w:p>
        </w:tc>
      </w:tr>
      <w:tr w14:paraId="687CA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5B85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117F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防水箱体</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4CF1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室外型防水箱体，根据根据现场环境制作。</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82B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DF6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77.410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4B934">
            <w:pPr>
              <w:spacing w:line="240" w:lineRule="auto"/>
              <w:jc w:val="center"/>
              <w:rPr>
                <w:rFonts w:hint="eastAsia" w:ascii="宋体" w:hAnsi="宋体" w:eastAsia="宋体" w:cs="宋体"/>
                <w:i w:val="0"/>
                <w:iCs w:val="0"/>
                <w:color w:val="000000"/>
                <w:sz w:val="21"/>
                <w:szCs w:val="21"/>
                <w:u w:val="none"/>
              </w:rPr>
            </w:pPr>
          </w:p>
        </w:tc>
      </w:tr>
      <w:tr w14:paraId="5F3FD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3FA0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77F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型钢框架修复</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2989C">
            <w:pPr>
              <w:keepNext w:val="0"/>
              <w:keepLines w:val="0"/>
              <w:widowControl/>
              <w:suppressLineNumbers w:val="0"/>
              <w:jc w:val="left"/>
              <w:textAlignment w:val="center"/>
              <w:rPr>
                <w:rFonts w:hint="eastAsia" w:ascii="宋体" w:hAnsi="宋体" w:eastAsia="宋体" w:cs="宋体"/>
                <w:color w:val="FF0000"/>
                <w:kern w:val="2"/>
                <w:sz w:val="21"/>
                <w:szCs w:val="21"/>
                <w:shd w:val="clear" w:color="auto" w:fill="FFFFFF"/>
                <w:lang w:val="en-US" w:eastAsia="zh-CN" w:bidi="ar-SA"/>
              </w:rPr>
            </w:pPr>
            <w:r>
              <w:rPr>
                <w:rFonts w:hint="eastAsia" w:ascii="宋体" w:hAnsi="宋体" w:eastAsia="宋体" w:cs="宋体"/>
                <w:i w:val="0"/>
                <w:iCs w:val="0"/>
                <w:color w:val="000000"/>
                <w:kern w:val="0"/>
                <w:sz w:val="21"/>
                <w:szCs w:val="21"/>
                <w:u w:val="none"/>
                <w:lang w:val="en-US" w:eastAsia="zh-CN" w:bidi="ar"/>
              </w:rPr>
              <w:t>型钢防锈处理及修复。</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96B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C95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BFA1B">
            <w:pPr>
              <w:spacing w:line="240" w:lineRule="auto"/>
              <w:jc w:val="center"/>
              <w:rPr>
                <w:rFonts w:hint="eastAsia" w:ascii="宋体" w:hAnsi="宋体" w:eastAsia="宋体" w:cs="宋体"/>
                <w:i w:val="0"/>
                <w:iCs w:val="0"/>
                <w:color w:val="000000"/>
                <w:sz w:val="21"/>
                <w:szCs w:val="21"/>
                <w:u w:val="none"/>
              </w:rPr>
            </w:pPr>
          </w:p>
        </w:tc>
      </w:tr>
      <w:tr w14:paraId="1A0ED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1FF6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2A4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户外包边造型</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BCC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户外防火铝塑板材料造型、封边、制作。</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E0C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E71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157.790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03285">
            <w:pPr>
              <w:spacing w:line="240" w:lineRule="auto"/>
              <w:jc w:val="center"/>
              <w:rPr>
                <w:rFonts w:hint="eastAsia" w:ascii="宋体" w:hAnsi="宋体" w:eastAsia="宋体" w:cs="宋体"/>
                <w:i w:val="0"/>
                <w:iCs w:val="0"/>
                <w:color w:val="000000"/>
                <w:sz w:val="21"/>
                <w:szCs w:val="21"/>
                <w:u w:val="none"/>
              </w:rPr>
            </w:pPr>
          </w:p>
        </w:tc>
      </w:tr>
      <w:tr w14:paraId="1A320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8FAA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7310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接收卡</w:t>
            </w:r>
          </w:p>
        </w:tc>
        <w:tc>
          <w:tcPr>
            <w:tcW w:w="4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158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1、集成HUB75，无需再配转接板，更方便，成本更低；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2、减少接插连接件，减少故障点，故障率更低；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3、支持常规芯片实现高刷新、高灰度、高亮度；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5、可消除单元板设计引起的某行偏暗、低灰偏红、鬼影等细节问题；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6、支持14bit精度逐点校正；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7、支持所有常规芯片、PWM 芯片、视芯芯片和灯饰芯片；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8、支持静态到 128 扫描之间 的任意扫描类型，单组数据可支持 13312 像素点以内的任意走线；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9、支持任意抽点，支持数据偏移，可轻松实现各种异型屏、球形屏、创意显示屏；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10、单卡支持32 组并行 RGB 全彩数据或 32 组串行 RGB 数据，可扩展 128 组串行 RGB 数据组，数据组可以自由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交换；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11、支持超大带载面积,单卡带载常规：128X1024 像素点，PWM：256X1024 像素点，视芯：162X1024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像素点；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12、支持（DC3.8V~5.5V，0.6A）超宽工作电压，有效减弱电压波动带来的影响；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13、视频输入，8bit/10bit 视频输入。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14、色温调节，即饱和度调节，增强画面表现力。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15、低亮高灰，通过对伽马表算法的优化，使得显示屏在降低亮度时能保持灰阶的完整无损失、完美显示，呈现低亮度高灰阶的显示效果。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16、高帧率，配合帧率倍频可以输出最高 240Hz 画面，显示更流畅、减少拖影。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17、亮色校正，8bit/14bit精度的色度，亮度一体化逐点校正，能有效消除灯点色差，保证整屏的颜色亮度的均匀性和一致性，提升整体显示效果。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18、箱体标序，可快速标示出对应网口的接收卡实际硬件连接序号，方便设置屏体的连接关系。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19、箱体标定，可快速标示出选定的目标箱体，使箱体正面显示闪烁方框、同时改变箱体指示灯闪烁频率，方便前后维护。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20、网口标序，不同网口和不同主控采用不同颜色显示，方便维护。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21、一帧延迟，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发送端到显示端延迟达到一帧，解决系统延迟导致的画面不同步问题。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22、画面旋转，单箱体画面以 90°/180°/270°角度进行旋转，配合部分主控可实现单箱体画面任意面角度旋转显示。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23、数据组偏移，以数据组为单位进行画面的偏移，适用于简单异形屏。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24、任意抽行、抽列、抽点，任意抽行、抽列、抽点。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25、快速升级和下发校正系数，支持快速升级和快速发送校正系数。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26、云端备份恢复，控制系统大屏参数可支持云端备份与恢复。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27、环路备份，通过主备冗余机制增加接收卡串联的可靠性。主备串联线路中，当其中一条线路出现故障时，另一条线路会即时工作，保证显示屏正常工作,为证明网线冗余热备份功能的专业性。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28、网线误码率侦测，检测接收卡之间数据传输质量和误码情况，可以方便快捷地识别出硬件连接异常的箱体，便于维护。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29、固件程序回读，支持可以回读接收卡的固件程序并保存到本地。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30、固件参数回读，支持可以回读接收卡的参数并保存到本地。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31、模组构造，可以轻松点亮三角形、梯形、圆形、扇形及各种不规则形状的LED模组和箱体，应用于不同造型的LED显示屏。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32、千兆网连接，支持千兆网，可通过网线直接连接 PC 端进行调试和显示，无需发送卡。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33、3D显示功能，支持 3D显示功能。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34、加密，支持接收卡加密和解密。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35、亮度调节，通过亮度探头获取亮度值，通过调用多套芯片寄存器达到调亮度。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36、低灰指定校正系数，低灰指定校正系数。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37、电源接口，接收卡电源接口与灯板电源接口一致(与灯板电源一致)无需单独配线，安装方便。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38、指示灯，通过电源指示灯和状态指示灯不同闪烁状态，可以判断，屏体工作状态，无需软件。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39、阻燃，表面阻燃 V-0 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40、工作温度，-25℃-75℃。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41、存储温湿度，-40℃-125℃@0-95%RH。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42、电源防反接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，支持电源防反接设计。</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469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C92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FEC26">
            <w:pPr>
              <w:spacing w:line="240" w:lineRule="auto"/>
              <w:jc w:val="center"/>
              <w:rPr>
                <w:rFonts w:hint="eastAsia" w:ascii="宋体" w:hAnsi="宋体" w:eastAsia="宋体" w:cs="宋体"/>
                <w:i w:val="0"/>
                <w:iCs w:val="0"/>
                <w:color w:val="000000"/>
                <w:sz w:val="21"/>
                <w:szCs w:val="21"/>
                <w:u w:val="none"/>
              </w:rPr>
            </w:pPr>
          </w:p>
        </w:tc>
      </w:tr>
      <w:tr w14:paraId="3A0C5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C0A5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BBDA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视频处理设备</w:t>
            </w:r>
          </w:p>
        </w:tc>
        <w:tc>
          <w:tcPr>
            <w:tcW w:w="4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FE3E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1、采用1U标准机箱，配置8路千兆网口，输出连接LED屏幕；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2、支持1路DP1.2、1路HDMI2.0、4路HDMI1.4视频信号输入；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3、支持最大输入分辨率4096×2160@60Hz；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4、支持8/10/12bit色深视频源输入；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5、支持6画面显示，画面大小和位置可自由调节；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6、支持视频信号任意裁剪、缩放和无缝切换；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7、支持U盘播放图片、视频，以及用于升级设备固件；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8、支持OSD遥控屏幕菜单控制图像、声音、设置等（选配遥控器）；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9、支持亮度调节，网口分组亮度调节；支持色温调节，精确色温调节和RGB分量调节；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10、支持低亮高灰，有效保证低亮度下的灰阶完整显示；支持音频传输，通过DP/HDMI音频解析和3.5mm独立音频输入输出；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11、支持亮度自动调节，通过多功能卡配置亮度传感器；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12、设备直接通过USB2.0级联，级联数据下发，发送速率最高可达 60Mb/s，最大支持 64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台同时调节亮度、色温、设备之间同步性，符合大型高标准活动现场低延时要求；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13、设备通过与多功能卡的配合实现自动亮度调节功能，根据环境照度的改变自动调节显示屏的亮度，达到最佳的显示效果；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14、设备具有 HDMI2.0和 DP1.2 双 4K60HZ 的输入信号，最大像素时钟为 600M Hz，支持 EDID，最高或最宽可达 8192 像素点；两路 4K 输入信号可以同时在屏幕上开窗拼接显示；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15、支持滚动字幕，字幕支持字体间距、颜色、位置、透明度等参数设置，支持任意比例缩放。支持底图图片添加，屏幕无信号时可显示底图画面；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16、支持自动倍频、2倍频、3倍频，采用独特的倍频算法，针对视频源信号小于 30hz 可启用2倍频，小于 20hz可启用 3 倍频，可以将输入信号转成 60Hz 信号输出，提高画面显示效果，信号最高帧率可达100Hz；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17、支持单机网口备份、双机网口备份;在控制系统上设置好物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理连接的备份关系，可解决网口故障、信号源故障信号线故障、控制器电源故障、以及连接源与控制器间的其他设备故障导致的显示画面异常，黑屏等异常问题；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18、支持精确颜色管理，对屏幕的不同色彩空间颜色之间的转化，可以保证 LED 屏幕显示图片的准确性；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19、支持屏幕自动除湿功能，通过自定义设置预热屏幕减少屏幕水汽，可以减少死灯、短路、暗亮等问题延长显示屏使用寿命；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20、支持创建多个设备还原点，将当前设备的场景，输出等参数存储为还原点，当系统工作异常时，可根据还原点一键快速还原</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299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415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5DFC9">
            <w:pPr>
              <w:spacing w:line="240" w:lineRule="auto"/>
              <w:jc w:val="center"/>
              <w:rPr>
                <w:rFonts w:hint="eastAsia" w:ascii="宋体" w:hAnsi="宋体" w:eastAsia="宋体" w:cs="宋体"/>
                <w:i w:val="0"/>
                <w:iCs w:val="0"/>
                <w:color w:val="000000"/>
                <w:sz w:val="21"/>
                <w:szCs w:val="21"/>
                <w:u w:val="none"/>
              </w:rPr>
            </w:pPr>
          </w:p>
        </w:tc>
      </w:tr>
      <w:tr w14:paraId="08FAD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E083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0B37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信号接收发送设备</w:t>
            </w:r>
          </w:p>
        </w:tc>
        <w:tc>
          <w:tcPr>
            <w:tcW w:w="4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E6D4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1、支持4K 10bits H.265/H.264硬解码、4K VP9解码，支持4K@60Hz输出；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2、支持WiFi、有线网络、4G等多种联网方式，快速部署实现智能云管理功能，多屏幕、多业务、跨区域统一管理。可配置为WiFi热点，支持手机、平板、电脑等设备进行节目管理和参数设置；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3、支持使用PlayerMaster进行节目编辑和发布，支持节目多窗口任意排布，支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持视频、图片、文本、表格、天气、时钟等各种节目素材播放。支持U盘即插即播，也可通过有线网络进行节目更新和管理；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4、专业BS架构，可通过WiFi/LAN/4G接入网络，进行云集群管理；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5、支持云分级管理和多角色节目发布；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6、处理性能强大，支持H265/H264 4K高清视频硬解码播放，支持10bit高位阶视频解码播放；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7、输出显示分辨率最大支持3840×2160@60Hz，最宽4096，最高4096；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8、32G存储(可用25G)，支持U盘播放；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9、支持立体音频输出，安全可靠；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10、全部采用工业级元器件，产品稳定可靠；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11、系统权限认证，数据通道加密；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12、多级权限管理，节目审核后发布；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13、播放内容实时监测，运行状态及时反馈，智能控制，管理方便；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14、支持U盘即插即播；</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15、支持多屏同步播放（GPS同步、NTP同步）；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16、支持定时指令，支持局域网排程、互联网排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17、可配置为WiFi热点，支持手机、Pad、PC等智能终端进行管理，节目管理，操作简单；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18、支持多窗口，可自由设定窗口大小和位置，并支持窗口叠加；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19、支持丰富的媒体素材，如图片、视频、文本、时钟、流媒体、网页、天气等；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20、支持多节目页播放；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21、额定电压或额定电源范围在DC5-12V，额定电流1.2A；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22、在线时长统计，通过云服务器，可以查看播放盒指定时段内累计在线时长和关开机次数；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23、支持多台设备画面完全同步。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24、云发布服务器安全可靠，AES加密服务，防网络DDOS攻击，WFA防火墙、HTTPS加密通道；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25、支持单机web控制（播放盒分辨率设置，节目发布，播放盒升级等）。</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750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418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7AB0E">
            <w:pPr>
              <w:spacing w:line="240" w:lineRule="auto"/>
              <w:jc w:val="center"/>
              <w:rPr>
                <w:rFonts w:hint="eastAsia" w:ascii="宋体" w:hAnsi="宋体" w:eastAsia="宋体" w:cs="宋体"/>
                <w:i w:val="0"/>
                <w:iCs w:val="0"/>
                <w:color w:val="000000"/>
                <w:sz w:val="21"/>
                <w:szCs w:val="21"/>
                <w:u w:val="none"/>
              </w:rPr>
            </w:pPr>
          </w:p>
        </w:tc>
      </w:tr>
      <w:tr w14:paraId="0D7DC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7F07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D884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智能语音激光笔</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ECE8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1、金属机身、玻璃面板，防指纹工艺，一体式简约设计，轻巧便携，USB接收器可以磁吸收纳；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2、★连接方式：2.4GHz无线连接，激光输出波长为650nm，激光距离大于50m；语音识别准确率≥98%；</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3、内置锂电池，充电时长1.5h，待机时长不低于100h；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4、★按键数量：6键，包括向上翻页键、向下翻页键、激光键、语音控制键、单语字幕键、双语字幕键；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5、支持系统：windows7/8/10；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6、识别语种：中文普通话、英文、粤语、四川话、河南话；</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7、翻译语种：不低于200种；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8、充电接口：type-C。</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E8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93F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B6A0E">
            <w:pPr>
              <w:spacing w:line="240" w:lineRule="auto"/>
              <w:jc w:val="center"/>
              <w:rPr>
                <w:rFonts w:hint="eastAsia" w:ascii="宋体" w:hAnsi="宋体" w:eastAsia="宋体" w:cs="宋体"/>
                <w:i w:val="0"/>
                <w:iCs w:val="0"/>
                <w:color w:val="000000"/>
                <w:sz w:val="21"/>
                <w:szCs w:val="21"/>
                <w:u w:val="none"/>
              </w:rPr>
            </w:pPr>
          </w:p>
        </w:tc>
      </w:tr>
      <w:tr w14:paraId="6E758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EA70E">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09B4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智能激光笔应用软件</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3C2F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1、语音控制PPT：语音打开文件夹、语音播放PPT、语音翻页等；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2、一键开启智能字幕功能，演讲同事文字也能实时呈现在屏幕下方，支持中文普通话、英文、粤语、四川话、河南话；</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3、★一键开启字幕翻译功能，支持200种语种翻译；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4、音频文字双记录：音频和文字同事被记录在本地电脑中，用户可以根据需要查询、整理，方便快速整理课堂笔记、会议纪要等；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5、★一键扫码分享：听众、学生通过手机扫码二维码，即可获得演讲音频、图片和文字；</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B9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F8E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BB378">
            <w:pPr>
              <w:spacing w:line="240" w:lineRule="auto"/>
              <w:jc w:val="center"/>
              <w:rPr>
                <w:rFonts w:hint="eastAsia" w:ascii="宋体" w:hAnsi="宋体" w:eastAsia="宋体" w:cs="宋体"/>
                <w:i w:val="0"/>
                <w:iCs w:val="0"/>
                <w:color w:val="000000"/>
                <w:sz w:val="21"/>
                <w:szCs w:val="21"/>
                <w:u w:val="none"/>
              </w:rPr>
            </w:pPr>
          </w:p>
        </w:tc>
      </w:tr>
      <w:tr w14:paraId="18297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59A78">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399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前端工控设备</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88E0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★1.带节能3EM-G4嵌入式电控管理技术，在无信号输入时15分钟内能够自动进入待机状态，待机功率小于8W，符合节能环保要求，增加设备使用寿命；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★2.需具备直通、节能转换开关；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3.需采用全新D类数字功放，效率达90%以上，可提供≥240W额定功率输出；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4.需支持100V、70V定压输出或4-16欧定阻输出；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5.需具备≥2路话筒输入，≥3路AUX输入，≥1路混合输出；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6.各输入通道需独立音量控制，高、低音调控制；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7.需具备条形电平指示带，显示信号输出强弱；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8.需采用功率放大器限幅、短路、削峰保护技术，有效保护功放稳定运行；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★9.具有嵌入式电控管理功能；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10.配备两只60W室外防水音柱；</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5EE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FD5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D9646">
            <w:pPr>
              <w:spacing w:line="240" w:lineRule="auto"/>
              <w:jc w:val="center"/>
              <w:rPr>
                <w:rFonts w:hint="eastAsia" w:ascii="宋体" w:hAnsi="宋体" w:eastAsia="宋体" w:cs="宋体"/>
                <w:i w:val="0"/>
                <w:iCs w:val="0"/>
                <w:color w:val="000000"/>
                <w:sz w:val="21"/>
                <w:szCs w:val="21"/>
                <w:u w:val="none"/>
              </w:rPr>
            </w:pPr>
          </w:p>
        </w:tc>
      </w:tr>
      <w:tr w14:paraId="44B74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754E7">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EC09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自启动空调</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7223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1、自启动空调</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424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8B3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2F09F">
            <w:pPr>
              <w:spacing w:line="240" w:lineRule="auto"/>
              <w:jc w:val="center"/>
              <w:rPr>
                <w:rFonts w:hint="eastAsia" w:ascii="宋体" w:hAnsi="宋体" w:eastAsia="宋体" w:cs="宋体"/>
                <w:i w:val="0"/>
                <w:iCs w:val="0"/>
                <w:color w:val="000000"/>
                <w:sz w:val="21"/>
                <w:szCs w:val="21"/>
                <w:u w:val="none"/>
              </w:rPr>
            </w:pPr>
          </w:p>
        </w:tc>
      </w:tr>
      <w:tr w14:paraId="062EF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2A515">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D20B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轴流风机+百叶窗</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6AE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1、轴流风机+百叶窗配套使用</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9A7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450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C095">
            <w:pPr>
              <w:spacing w:line="240" w:lineRule="auto"/>
              <w:jc w:val="center"/>
              <w:rPr>
                <w:rFonts w:hint="eastAsia" w:ascii="宋体" w:hAnsi="宋体" w:eastAsia="宋体" w:cs="宋体"/>
                <w:i w:val="0"/>
                <w:iCs w:val="0"/>
                <w:color w:val="000000"/>
                <w:sz w:val="21"/>
                <w:szCs w:val="21"/>
                <w:u w:val="none"/>
              </w:rPr>
            </w:pPr>
          </w:p>
        </w:tc>
      </w:tr>
      <w:tr w14:paraId="0AD25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42282">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9EC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配电柜</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36FA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智慧式电能管理与电气安全监管云平台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1、支持多种客户端应用，包含Web端、手机APP（IOS、Android）；</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2、系统功能；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2.1、具备Web端的平台显示、具备实时数据查看、远程控制、报警弹窗提示、参数设置修改等；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2.2、苹果和安卓APP，具备实时数据查看、远程控制、定时控制、功率最大设定、报警弹窗提示、电量计量及漏电自检等功能；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2.3、并发用户数与系统性能：性能设计满足项目针对该系统在用户数，响应速度，系统在线并发等性能的需要：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①平均响应速度：全系统按照在标准软硬件环境下允许至少200用户操作，50人并发访问流量；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②业务操作交易平均响应时间小于3秒钟；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③复杂查询类平均响应时间小于5秒；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④统计分析类平均响应时间小于1分钟；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⑤容量和吞吐量：系统应支持每个子系统至少50用户的同时并发；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2.4、安全与身份认证；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2.5、文件存取和系统功能要进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行权限控制；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2.6、提供从系统级安全到应用层安全的各级防护措施，最大限度地防止非法入侵和操作，保证数据安全；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3、系统稳定性；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3.1、避免由于单点故障或系统的升级而影响整个系统的正常运行；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3.2、支持7*24小时不间断服务。单次系统故障响应时间，严重故障不得超过1小时，一般故障不超过2小时；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3.3、具备实时数据查看（线路电压、电流、功率、温度、电量等）、远程控制、定时控制、阀值最大设定、报警弹窗提醒、电量统计及漏电自检等功能；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4.1、手自一体控制：手机遥控，可以按键自动控制，也可通过手动推杆控制通断；</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4.2、具备实时监测每个回路电压、电流、温度、有功电度等用电参数，实时监测线路剩余电流；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4.3、设备具备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实时监视设备工作状态，包括分合闸状态，锁定状态，远程/本地工作模式，报警状态，故障状态等；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4.4、设备应具备定时控制功能，内置时钟芯片，脱网状态下可保证时间的精准；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5.1、支持双向互联网通讯；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5.2、可支持以太网、WIFI、4G、等多种通信方式；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5.3、支持向下串口通讯功能、数据计算分析存储功能；                                                                           6.1、额定电流：≥32A/AC220V；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6.2、 分断能力：≥10000A。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6.3、手自一体控制：手机遥控，可以按键自动控制，也可通过手动推杆控制通断；</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6.4、具备实时监测每个回路电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压、电流、温度、有功电度等用电参数，实时监测线路剩余电流。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6.5、设备具备实时监视设备工作状态，包括分合闸状态，锁定状态，远程/本地工作模式，报警状态，故障状态等。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6.6、设备应具备定时控制功能，内置时钟芯片，脱网状态下可保证时间的精准；</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2B5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339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F58D2">
            <w:pPr>
              <w:spacing w:line="240" w:lineRule="auto"/>
              <w:jc w:val="center"/>
              <w:rPr>
                <w:rFonts w:hint="eastAsia" w:ascii="宋体" w:hAnsi="宋体" w:eastAsia="宋体" w:cs="宋体"/>
                <w:i w:val="0"/>
                <w:iCs w:val="0"/>
                <w:color w:val="000000"/>
                <w:sz w:val="21"/>
                <w:szCs w:val="21"/>
                <w:u w:val="none"/>
              </w:rPr>
            </w:pPr>
          </w:p>
        </w:tc>
      </w:tr>
      <w:tr w14:paraId="2E384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D0108">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010F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网络线材</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60F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1.铜缆符合ISO/IEC 11801-1、IEC 61156-5标准中6类要求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2.产品结构：U/UTP非屏蔽，线对十字骨架隔离，4*2*23AWG实心裸铜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3.绝缘材料：HDPE</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4.护套材料：PVC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5.护套直径：6.1±0.4mm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6.最高工作频率：250MHz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7.传输延迟：≤45ns/100m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8.直流电阻：≤9.38Ω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9.直流电阻不平衡：≤5%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10.工作温度：-20~60℃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11.★铜缆支持ISO/IEC 11801-1标准中6类要求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12.★铜缆支持ISO/IEC 11801-1标准6类非屏蔽链路应用，链路全频带NEXT余量≥8.0dB</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E0D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D1D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56DF9">
            <w:pPr>
              <w:spacing w:line="240" w:lineRule="auto"/>
              <w:jc w:val="center"/>
              <w:rPr>
                <w:rFonts w:hint="eastAsia" w:ascii="宋体" w:hAnsi="宋体" w:eastAsia="宋体" w:cs="宋体"/>
                <w:i w:val="0"/>
                <w:iCs w:val="0"/>
                <w:color w:val="000000"/>
                <w:sz w:val="21"/>
                <w:szCs w:val="21"/>
                <w:u w:val="none"/>
              </w:rPr>
            </w:pPr>
          </w:p>
        </w:tc>
      </w:tr>
      <w:tr w14:paraId="6901C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4998E">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BEB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供电线缆</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2B24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YJV-3X10+2X6埋地电缆检修</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1CB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931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FE5EE">
            <w:pPr>
              <w:spacing w:line="240" w:lineRule="auto"/>
              <w:jc w:val="center"/>
              <w:rPr>
                <w:rFonts w:hint="eastAsia" w:ascii="宋体" w:hAnsi="宋体" w:eastAsia="宋体" w:cs="宋体"/>
                <w:i w:val="0"/>
                <w:iCs w:val="0"/>
                <w:color w:val="000000"/>
                <w:sz w:val="21"/>
                <w:szCs w:val="21"/>
                <w:u w:val="none"/>
              </w:rPr>
            </w:pPr>
          </w:p>
        </w:tc>
      </w:tr>
      <w:tr w14:paraId="01E0B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C3876">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00D1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B71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BV3X4电源线</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BB6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BF9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E226C">
            <w:pPr>
              <w:spacing w:line="240" w:lineRule="auto"/>
              <w:jc w:val="center"/>
              <w:rPr>
                <w:rFonts w:hint="eastAsia" w:ascii="宋体" w:hAnsi="宋体" w:eastAsia="宋体" w:cs="宋体"/>
                <w:i w:val="0"/>
                <w:iCs w:val="0"/>
                <w:color w:val="000000"/>
                <w:sz w:val="21"/>
                <w:szCs w:val="21"/>
                <w:u w:val="none"/>
              </w:rPr>
            </w:pPr>
          </w:p>
        </w:tc>
      </w:tr>
      <w:tr w14:paraId="73FB9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0DB7A">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FC6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0328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RVV2X2.5电源线</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25A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084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C4C40">
            <w:pPr>
              <w:spacing w:line="240" w:lineRule="auto"/>
              <w:jc w:val="center"/>
              <w:rPr>
                <w:rFonts w:hint="eastAsia" w:ascii="宋体" w:hAnsi="宋体" w:eastAsia="宋体" w:cs="宋体"/>
                <w:i w:val="0"/>
                <w:iCs w:val="0"/>
                <w:color w:val="000000"/>
                <w:sz w:val="21"/>
                <w:szCs w:val="21"/>
                <w:u w:val="none"/>
              </w:rPr>
            </w:pPr>
          </w:p>
        </w:tc>
      </w:tr>
      <w:tr w14:paraId="3ADCA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66660">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053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66B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RVV2X1.5电源线</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B5C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415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538FB">
            <w:pPr>
              <w:spacing w:line="240" w:lineRule="auto"/>
              <w:jc w:val="center"/>
              <w:rPr>
                <w:rFonts w:hint="eastAsia" w:ascii="宋体" w:hAnsi="宋体" w:eastAsia="宋体" w:cs="宋体"/>
                <w:i w:val="0"/>
                <w:iCs w:val="0"/>
                <w:color w:val="000000"/>
                <w:sz w:val="21"/>
                <w:szCs w:val="21"/>
                <w:u w:val="none"/>
              </w:rPr>
            </w:pPr>
          </w:p>
        </w:tc>
      </w:tr>
      <w:tr w14:paraId="1D089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13AA7">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2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DEE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光纤链路</w:t>
            </w:r>
          </w:p>
        </w:tc>
        <w:tc>
          <w:tcPr>
            <w:tcW w:w="4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F45A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50M，含熔接及收发设备、辅材；一条一年费用；</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999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c>
          <w:tcPr>
            <w:tcW w:w="1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6DF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B0B8C">
            <w:pPr>
              <w:spacing w:line="240" w:lineRule="auto"/>
              <w:jc w:val="center"/>
              <w:rPr>
                <w:rFonts w:hint="eastAsia" w:ascii="宋体" w:hAnsi="宋体" w:eastAsia="宋体" w:cs="宋体"/>
                <w:i w:val="0"/>
                <w:iCs w:val="0"/>
                <w:color w:val="000000"/>
                <w:sz w:val="21"/>
                <w:szCs w:val="21"/>
                <w:u w:val="none"/>
              </w:rPr>
            </w:pPr>
          </w:p>
        </w:tc>
      </w:tr>
    </w:tbl>
    <w:p w14:paraId="75AEF229">
      <w:pPr>
        <w:pStyle w:val="11"/>
        <w:keepNext w:val="0"/>
        <w:keepLines w:val="0"/>
        <w:pageBreakBefore w:val="0"/>
        <w:widowControl/>
        <w:kinsoku/>
        <w:wordWrap/>
        <w:overflowPunct/>
        <w:topLinePunct w:val="0"/>
        <w:autoSpaceDE/>
        <w:autoSpaceDN/>
        <w:bidi w:val="0"/>
        <w:adjustRightInd/>
        <w:snapToGrid/>
        <w:spacing w:beforeAutospacing="0" w:afterAutospacing="0" w:line="360" w:lineRule="auto"/>
        <w:ind w:right="391" w:firstLine="240" w:firstLineChars="100"/>
        <w:jc w:val="left"/>
        <w:textAlignment w:val="auto"/>
        <w:rPr>
          <w:rFonts w:hint="eastAsia" w:ascii="宋体" w:hAnsi="宋体" w:eastAsia="宋体" w:cs="宋体"/>
          <w:color w:val="030303"/>
          <w:sz w:val="24"/>
          <w:szCs w:val="24"/>
          <w:shd w:val="clear" w:color="auto" w:fill="FFFFFF"/>
        </w:rPr>
      </w:pPr>
      <w:bookmarkStart w:id="0" w:name="_GoBack"/>
      <w:bookmarkEnd w:id="0"/>
      <w:r>
        <w:rPr>
          <w:rFonts w:hint="eastAsia" w:ascii="宋体" w:hAnsi="宋体" w:eastAsia="宋体" w:cs="宋体"/>
          <w:color w:val="030303"/>
          <w:sz w:val="24"/>
          <w:szCs w:val="24"/>
          <w:shd w:val="clear" w:color="auto" w:fill="FFFFFF"/>
        </w:rPr>
        <w:t>1.2提供服务范围包括但不限于：</w:t>
      </w:r>
      <w:r>
        <w:rPr>
          <w:rFonts w:hint="eastAsia" w:ascii="宋体" w:hAnsi="宋体" w:eastAsia="宋体" w:cs="宋体"/>
          <w:color w:val="030303"/>
          <w:sz w:val="24"/>
          <w:szCs w:val="24"/>
          <w:shd w:val="clear" w:color="auto" w:fill="FFFFFF"/>
          <w:lang w:eastAsia="zh-CN"/>
        </w:rPr>
        <w:t>弱电项目</w:t>
      </w:r>
      <w:r>
        <w:rPr>
          <w:rFonts w:hint="eastAsia" w:ascii="宋体" w:hAnsi="宋体" w:eastAsia="宋体" w:cs="宋体"/>
          <w:color w:val="030303"/>
          <w:sz w:val="24"/>
          <w:szCs w:val="24"/>
          <w:shd w:val="clear" w:color="auto" w:fill="FFFFFF"/>
        </w:rPr>
        <w:t>的图纸资料、出厂试验、供货、包装、发运、现场交货、现场安装、现场调试、协助验收等。</w:t>
      </w:r>
    </w:p>
    <w:p w14:paraId="213FD0BF">
      <w:pPr>
        <w:pStyle w:val="11"/>
        <w:keepNext w:val="0"/>
        <w:keepLines w:val="0"/>
        <w:pageBreakBefore w:val="0"/>
        <w:widowControl/>
        <w:kinsoku/>
        <w:wordWrap/>
        <w:overflowPunct/>
        <w:topLinePunct w:val="0"/>
        <w:autoSpaceDE/>
        <w:autoSpaceDN/>
        <w:bidi w:val="0"/>
        <w:adjustRightInd/>
        <w:snapToGrid/>
        <w:spacing w:beforeAutospacing="0" w:afterAutospacing="0" w:line="360" w:lineRule="auto"/>
        <w:ind w:right="391" w:firstLine="240" w:firstLineChars="100"/>
        <w:jc w:val="left"/>
        <w:textAlignment w:val="auto"/>
        <w:rPr>
          <w:rFonts w:hint="default" w:ascii="宋体" w:hAnsi="宋体" w:eastAsia="宋体" w:cs="宋体"/>
          <w:i w:val="0"/>
          <w:iCs w:val="0"/>
          <w:caps w:val="0"/>
          <w:color w:val="030303"/>
          <w:spacing w:val="0"/>
          <w:sz w:val="24"/>
          <w:szCs w:val="24"/>
          <w:shd w:val="clear" w:fill="FFFFFF"/>
          <w:lang w:val="en-US" w:eastAsia="zh-CN"/>
        </w:rPr>
      </w:pPr>
      <w:r>
        <w:rPr>
          <w:rFonts w:hint="eastAsia" w:ascii="宋体" w:hAnsi="宋体" w:eastAsia="宋体" w:cs="宋体"/>
          <w:color w:val="030303"/>
          <w:sz w:val="24"/>
          <w:szCs w:val="24"/>
          <w:shd w:val="clear" w:color="auto" w:fill="FFFFFF"/>
        </w:rPr>
        <w:t>1.3售后服务响应时间：</w:t>
      </w:r>
      <w:r>
        <w:rPr>
          <w:rFonts w:hint="eastAsia" w:ascii="宋体" w:hAnsi="宋体" w:eastAsia="宋体" w:cs="宋体"/>
          <w:i w:val="0"/>
          <w:iCs w:val="0"/>
          <w:caps w:val="0"/>
          <w:color w:val="030303"/>
          <w:spacing w:val="0"/>
          <w:sz w:val="24"/>
          <w:szCs w:val="24"/>
          <w:shd w:val="clear" w:fill="FFFFFF"/>
          <w:lang w:val="en-US" w:eastAsia="zh-CN"/>
        </w:rPr>
        <w:t>接到故障通知后工作时间内2h内到达现场，24h内完成故障处理。</w:t>
      </w:r>
    </w:p>
    <w:p w14:paraId="70D4F299">
      <w:pPr>
        <w:pStyle w:val="11"/>
        <w:keepNext w:val="0"/>
        <w:keepLines w:val="0"/>
        <w:pageBreakBefore w:val="0"/>
        <w:widowControl/>
        <w:kinsoku/>
        <w:wordWrap/>
        <w:overflowPunct/>
        <w:topLinePunct w:val="0"/>
        <w:autoSpaceDE/>
        <w:autoSpaceDN/>
        <w:bidi w:val="0"/>
        <w:adjustRightInd/>
        <w:snapToGrid/>
        <w:spacing w:beforeAutospacing="0" w:afterAutospacing="0" w:line="360" w:lineRule="auto"/>
        <w:ind w:right="391" w:firstLine="240" w:firstLineChars="100"/>
        <w:jc w:val="left"/>
        <w:textAlignment w:val="auto"/>
        <w:rPr>
          <w:rFonts w:hint="eastAsia" w:ascii="宋体" w:hAnsi="宋体" w:eastAsia="宋体" w:cs="宋体"/>
          <w:color w:val="030303"/>
          <w:sz w:val="24"/>
          <w:szCs w:val="24"/>
          <w:highlight w:val="none"/>
          <w:shd w:val="clear" w:color="auto" w:fill="FFFFFF"/>
          <w:lang w:val="en-US" w:eastAsia="zh-CN"/>
        </w:rPr>
      </w:pPr>
      <w:r>
        <w:rPr>
          <w:rFonts w:hint="eastAsia" w:ascii="宋体" w:hAnsi="宋体" w:eastAsia="宋体" w:cs="宋体"/>
          <w:color w:val="030303"/>
          <w:sz w:val="24"/>
          <w:szCs w:val="24"/>
          <w:shd w:val="clear" w:color="auto" w:fill="FFFFFF"/>
        </w:rPr>
        <w:t>1.4交货时间：</w:t>
      </w:r>
      <w:r>
        <w:rPr>
          <w:rFonts w:hint="eastAsia" w:ascii="宋体" w:hAnsi="宋体" w:eastAsia="宋体" w:cs="宋体"/>
          <w:color w:val="FF0000"/>
          <w:sz w:val="24"/>
          <w:szCs w:val="24"/>
          <w:highlight w:val="none"/>
          <w:shd w:val="clear" w:color="auto" w:fill="FFFFFF"/>
          <w:lang w:val="en-US" w:eastAsia="zh-CN"/>
        </w:rPr>
        <w:t>合同签订后30个日历天。</w:t>
      </w:r>
    </w:p>
    <w:p w14:paraId="334B50C3">
      <w:pPr>
        <w:pStyle w:val="11"/>
        <w:keepNext w:val="0"/>
        <w:keepLines w:val="0"/>
        <w:pageBreakBefore w:val="0"/>
        <w:widowControl/>
        <w:kinsoku/>
        <w:wordWrap/>
        <w:overflowPunct/>
        <w:topLinePunct w:val="0"/>
        <w:autoSpaceDE/>
        <w:autoSpaceDN/>
        <w:bidi w:val="0"/>
        <w:adjustRightInd/>
        <w:snapToGrid/>
        <w:spacing w:beforeAutospacing="0" w:afterAutospacing="0" w:line="360" w:lineRule="auto"/>
        <w:ind w:right="391" w:firstLine="240" w:firstLineChars="100"/>
        <w:jc w:val="left"/>
        <w:textAlignment w:val="auto"/>
        <w:rPr>
          <w:rFonts w:hint="default" w:ascii="宋体" w:hAnsi="宋体" w:eastAsia="宋体" w:cs="宋体"/>
          <w:color w:val="FF0000"/>
          <w:sz w:val="24"/>
          <w:szCs w:val="24"/>
          <w:highlight w:val="none"/>
          <w:shd w:val="clear" w:color="auto" w:fill="FFFFFF"/>
          <w:lang w:val="en-US" w:eastAsia="zh-CN"/>
        </w:rPr>
      </w:pPr>
      <w:r>
        <w:rPr>
          <w:rFonts w:hint="eastAsia" w:ascii="宋体" w:hAnsi="宋体" w:eastAsia="宋体" w:cs="宋体"/>
          <w:color w:val="030303"/>
          <w:sz w:val="24"/>
          <w:szCs w:val="24"/>
          <w:highlight w:val="none"/>
          <w:shd w:val="clear" w:color="auto" w:fill="FFFFFF"/>
          <w:lang w:val="en-US" w:eastAsia="zh-CN"/>
        </w:rPr>
        <w:t>1.5付款方式：</w:t>
      </w:r>
      <w:r>
        <w:rPr>
          <w:rFonts w:hint="eastAsia" w:ascii="宋体" w:hAnsi="宋体" w:eastAsia="宋体" w:cs="宋体"/>
          <w:color w:val="FF0000"/>
          <w:sz w:val="24"/>
          <w:szCs w:val="24"/>
          <w:highlight w:val="none"/>
          <w:shd w:val="clear" w:color="auto" w:fill="FFFFFF"/>
          <w:lang w:val="en-US" w:eastAsia="zh-CN"/>
        </w:rPr>
        <w:t>乙方物资到货后支付合同金额的30%，现场安装结束后竣工验收合格支付至合同金额的80%，尾款待项目审计完成，按实际工程量付至结算金额的97%，尾款待质保期（2年）满后一次性付清。</w:t>
      </w:r>
    </w:p>
    <w:p w14:paraId="41278B80">
      <w:pPr>
        <w:pStyle w:val="11"/>
        <w:widowControl/>
        <w:spacing w:beforeAutospacing="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四、供应商资格条件：</w:t>
      </w:r>
    </w:p>
    <w:p w14:paraId="34166D9A">
      <w:pPr>
        <w:pStyle w:val="11"/>
        <w:widowControl/>
        <w:spacing w:beforeAutospacing="0" w:afterAutospacing="0" w:line="360" w:lineRule="auto"/>
        <w:ind w:right="390" w:firstLine="240" w:firstLineChars="1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1、在中华人民共和国注册，具有独立承担民事责任的能力；</w:t>
      </w:r>
    </w:p>
    <w:p w14:paraId="3D0270E9">
      <w:pPr>
        <w:pStyle w:val="11"/>
        <w:widowControl/>
        <w:spacing w:beforeAutospacing="0" w:afterAutospacing="0" w:line="360" w:lineRule="auto"/>
        <w:ind w:right="390" w:firstLine="240" w:firstLineChars="1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lang w:val="en-US" w:eastAsia="zh-CN"/>
        </w:rPr>
        <w:t>2</w:t>
      </w:r>
      <w:r>
        <w:rPr>
          <w:rFonts w:hint="eastAsia" w:ascii="宋体" w:hAnsi="宋体" w:eastAsia="宋体" w:cs="宋体"/>
          <w:color w:val="030303"/>
          <w:sz w:val="24"/>
          <w:szCs w:val="24"/>
          <w:shd w:val="clear" w:color="auto" w:fill="FFFFFF"/>
        </w:rPr>
        <w:t>、投标人具有良好的商业信誉和财务状况，没有处于被责令停业或破产状态，且资产未被重组、接管和冻结；</w:t>
      </w:r>
    </w:p>
    <w:p w14:paraId="67281D94">
      <w:pPr>
        <w:pStyle w:val="11"/>
        <w:widowControl/>
        <w:spacing w:beforeAutospacing="0" w:afterAutospacing="0" w:line="360" w:lineRule="auto"/>
        <w:ind w:left="390" w:leftChars="0" w:right="390" w:firstLine="12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lang w:val="en-US" w:eastAsia="zh-CN"/>
        </w:rPr>
        <w:t>3</w:t>
      </w:r>
      <w:r>
        <w:rPr>
          <w:rFonts w:hint="eastAsia" w:ascii="宋体" w:hAnsi="宋体" w:eastAsia="宋体" w:cs="宋体"/>
          <w:color w:val="030303"/>
          <w:sz w:val="24"/>
          <w:szCs w:val="24"/>
          <w:shd w:val="clear" w:color="auto" w:fill="FFFFFF"/>
        </w:rPr>
        <w:t>、投标人未被最高人民法院在“信用中国”网站（www.creditchina.gov.cn）列入失信被执行人名单。</w:t>
      </w:r>
    </w:p>
    <w:p w14:paraId="1BFA56FB">
      <w:pPr>
        <w:pStyle w:val="11"/>
        <w:widowControl/>
        <w:spacing w:beforeAutospacing="0" w:afterAutospacing="0" w:line="360" w:lineRule="auto"/>
        <w:ind w:left="0" w:leftChars="0" w:right="390" w:firstLine="480" w:firstLineChars="2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五、报价文件内容：</w:t>
      </w:r>
    </w:p>
    <w:p w14:paraId="76DB397A">
      <w:pPr>
        <w:pStyle w:val="11"/>
        <w:widowControl/>
        <w:spacing w:beforeAutospacing="0" w:afterAutospacing="0" w:line="360" w:lineRule="auto"/>
        <w:ind w:left="0" w:leftChars="0" w:right="390" w:firstLine="720" w:firstLineChars="3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1、投标报价表；</w:t>
      </w:r>
    </w:p>
    <w:p w14:paraId="33A9ECF9">
      <w:pPr>
        <w:pStyle w:val="11"/>
        <w:widowControl/>
        <w:spacing w:beforeAutospacing="0" w:afterAutospacing="0" w:line="360" w:lineRule="auto"/>
        <w:ind w:left="0" w:leftChars="0" w:right="390" w:firstLine="720" w:firstLineChars="3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2、公司营业执照；</w:t>
      </w:r>
    </w:p>
    <w:p w14:paraId="2E77308D">
      <w:pPr>
        <w:pStyle w:val="11"/>
        <w:widowControl/>
        <w:spacing w:beforeAutospacing="0" w:afterAutospacing="0" w:line="360" w:lineRule="auto"/>
        <w:ind w:left="0" w:leftChars="0" w:right="390" w:firstLine="720" w:firstLineChars="3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3、相关资质证书；</w:t>
      </w:r>
    </w:p>
    <w:p w14:paraId="654B4630">
      <w:pPr>
        <w:pStyle w:val="11"/>
        <w:widowControl/>
        <w:spacing w:beforeAutospacing="0" w:afterAutospacing="0" w:line="360" w:lineRule="auto"/>
        <w:ind w:left="0" w:leftChars="0" w:right="390" w:firstLine="720" w:firstLineChars="3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 xml:space="preserve">4、经销商需提供授权证明。    </w:t>
      </w:r>
    </w:p>
    <w:p w14:paraId="7F500C9D">
      <w:pPr>
        <w:pStyle w:val="11"/>
        <w:widowControl/>
        <w:spacing w:beforeAutospacing="0" w:afterAutospacing="0" w:line="360" w:lineRule="auto"/>
        <w:ind w:left="0" w:leftChars="0" w:right="390" w:firstLine="480" w:firstLineChars="2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六、评标原则：</w:t>
      </w:r>
    </w:p>
    <w:p w14:paraId="1F67AB53">
      <w:pPr>
        <w:pStyle w:val="11"/>
        <w:widowControl/>
        <w:spacing w:beforeAutospacing="0" w:afterAutospacing="0" w:line="360" w:lineRule="auto"/>
        <w:ind w:left="0" w:leftChars="0" w:right="390" w:firstLine="480" w:firstLineChars="2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1、企业综合实力；</w:t>
      </w:r>
    </w:p>
    <w:p w14:paraId="274B3AF0">
      <w:pPr>
        <w:pStyle w:val="11"/>
        <w:widowControl/>
        <w:spacing w:beforeAutospacing="0" w:afterAutospacing="0" w:line="360" w:lineRule="auto"/>
        <w:ind w:left="0" w:leftChars="0" w:right="390" w:firstLine="480" w:firstLineChars="2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2、资质合格；</w:t>
      </w:r>
    </w:p>
    <w:p w14:paraId="0DA3DF96">
      <w:pPr>
        <w:pStyle w:val="11"/>
        <w:widowControl/>
        <w:spacing w:beforeAutospacing="0" w:afterAutospacing="0" w:line="360" w:lineRule="auto"/>
        <w:ind w:left="0" w:leftChars="0" w:right="390" w:firstLine="480" w:firstLineChars="20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3、质量可靠；</w:t>
      </w:r>
    </w:p>
    <w:p w14:paraId="7B4D483B">
      <w:pPr>
        <w:pStyle w:val="11"/>
        <w:widowControl/>
        <w:spacing w:beforeAutospacing="0" w:afterAutospacing="0" w:line="360" w:lineRule="auto"/>
        <w:ind w:left="210" w:leftChars="100" w:right="390" w:firstLine="240" w:firstLineChars="100"/>
        <w:jc w:val="left"/>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4、</w:t>
      </w:r>
      <w:r>
        <w:rPr>
          <w:rFonts w:hint="eastAsia" w:ascii="宋体" w:hAnsi="宋体" w:eastAsia="宋体" w:cs="宋体"/>
          <w:i w:val="0"/>
          <w:iCs w:val="0"/>
          <w:caps w:val="0"/>
          <w:color w:val="auto"/>
          <w:spacing w:val="0"/>
          <w:sz w:val="24"/>
          <w:szCs w:val="24"/>
          <w:shd w:val="clear" w:fill="FFFFFF"/>
          <w:lang w:val="en-US" w:eastAsia="zh-CN"/>
        </w:rPr>
        <w:t>采用综合评分法：总分100分，其中报价80分，企业履约评价10分，企业综合实力10分；总得分最高中标（详细见评分办法）。</w:t>
      </w:r>
    </w:p>
    <w:p w14:paraId="3F1451AE">
      <w:pPr>
        <w:pStyle w:val="11"/>
        <w:widowControl/>
        <w:spacing w:before="120" w:beforeAutospacing="0" w:after="12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七、报价截止时间：202</w:t>
      </w:r>
      <w:r>
        <w:rPr>
          <w:rFonts w:hint="eastAsia" w:ascii="宋体" w:hAnsi="宋体" w:eastAsia="宋体" w:cs="宋体"/>
          <w:color w:val="030303"/>
          <w:sz w:val="24"/>
          <w:szCs w:val="24"/>
          <w:shd w:val="clear" w:color="auto" w:fill="FFFFFF"/>
          <w:lang w:val="en-US" w:eastAsia="zh-CN"/>
        </w:rPr>
        <w:t>5</w:t>
      </w:r>
      <w:r>
        <w:rPr>
          <w:rFonts w:hint="eastAsia" w:ascii="宋体" w:hAnsi="宋体" w:eastAsia="宋体" w:cs="宋体"/>
          <w:color w:val="030303"/>
          <w:sz w:val="24"/>
          <w:szCs w:val="24"/>
          <w:shd w:val="clear" w:color="auto" w:fill="FFFFFF"/>
        </w:rPr>
        <w:t>年</w:t>
      </w:r>
      <w:r>
        <w:rPr>
          <w:rFonts w:hint="eastAsia" w:ascii="宋体" w:hAnsi="宋体" w:eastAsia="宋体" w:cs="宋体"/>
          <w:color w:val="030303"/>
          <w:sz w:val="24"/>
          <w:szCs w:val="24"/>
          <w:shd w:val="clear" w:color="auto" w:fill="FFFFFF"/>
          <w:lang w:val="en-US" w:eastAsia="zh-CN"/>
        </w:rPr>
        <w:t>6</w:t>
      </w:r>
      <w:r>
        <w:rPr>
          <w:rFonts w:hint="eastAsia" w:ascii="宋体" w:hAnsi="宋体" w:eastAsia="宋体" w:cs="宋体"/>
          <w:color w:val="030303"/>
          <w:sz w:val="24"/>
          <w:szCs w:val="24"/>
          <w:shd w:val="clear" w:color="auto" w:fill="FFFFFF"/>
        </w:rPr>
        <w:t>月</w:t>
      </w:r>
      <w:r>
        <w:rPr>
          <w:rFonts w:hint="eastAsia" w:ascii="宋体" w:hAnsi="宋体" w:eastAsia="宋体" w:cs="宋体"/>
          <w:color w:val="030303"/>
          <w:sz w:val="24"/>
          <w:szCs w:val="24"/>
          <w:shd w:val="clear" w:color="auto" w:fill="FFFFFF"/>
          <w:lang w:val="en-US" w:eastAsia="zh-CN"/>
        </w:rPr>
        <w:t>23</w:t>
      </w:r>
      <w:r>
        <w:rPr>
          <w:rFonts w:hint="eastAsia" w:ascii="宋体" w:hAnsi="宋体" w:eastAsia="宋体" w:cs="宋体"/>
          <w:color w:val="030303"/>
          <w:sz w:val="24"/>
          <w:szCs w:val="24"/>
          <w:shd w:val="clear" w:color="auto" w:fill="FFFFFF"/>
        </w:rPr>
        <w:t>日</w:t>
      </w:r>
      <w:r>
        <w:rPr>
          <w:rFonts w:hint="eastAsia" w:ascii="宋体" w:hAnsi="宋体" w:eastAsia="宋体" w:cs="宋体"/>
          <w:color w:val="030303"/>
          <w:sz w:val="24"/>
          <w:szCs w:val="24"/>
          <w:shd w:val="clear" w:color="auto" w:fill="FFFFFF"/>
          <w:lang w:val="en-US" w:eastAsia="zh-CN"/>
        </w:rPr>
        <w:t>10</w:t>
      </w:r>
      <w:r>
        <w:rPr>
          <w:rFonts w:hint="eastAsia" w:ascii="宋体" w:hAnsi="宋体" w:eastAsia="宋体" w:cs="宋体"/>
          <w:color w:val="030303"/>
          <w:sz w:val="24"/>
          <w:szCs w:val="24"/>
          <w:shd w:val="clear" w:color="auto" w:fill="FFFFFF"/>
        </w:rPr>
        <w:t>:30（北京时间）</w:t>
      </w:r>
    </w:p>
    <w:p w14:paraId="704E427F">
      <w:pPr>
        <w:pStyle w:val="11"/>
        <w:widowControl/>
        <w:spacing w:before="120" w:beforeAutospacing="0" w:after="120" w:afterAutospacing="0" w:line="360" w:lineRule="auto"/>
        <w:ind w:left="390" w:leftChars="0" w:right="39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八、投标地址：不见面开标方式，报价文件邮寄宁国市永祥电力工程技术有限公司材料部，联系人：程先生，联系号码：15345639105。</w:t>
      </w:r>
    </w:p>
    <w:p w14:paraId="461FEBC4">
      <w:pPr>
        <w:pStyle w:val="11"/>
        <w:widowControl/>
        <w:spacing w:before="120" w:beforeAutospacing="0" w:after="120" w:afterAutospacing="0" w:line="360" w:lineRule="auto"/>
        <w:ind w:left="390" w:leftChars="0" w:right="390"/>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九、开标时间：202</w:t>
      </w:r>
      <w:r>
        <w:rPr>
          <w:rFonts w:hint="eastAsia" w:ascii="宋体" w:hAnsi="宋体" w:eastAsia="宋体" w:cs="宋体"/>
          <w:color w:val="030303"/>
          <w:sz w:val="24"/>
          <w:szCs w:val="24"/>
          <w:shd w:val="clear" w:color="auto" w:fill="FFFFFF"/>
          <w:lang w:val="en-US" w:eastAsia="zh-CN"/>
        </w:rPr>
        <w:t>5</w:t>
      </w:r>
      <w:r>
        <w:rPr>
          <w:rFonts w:hint="eastAsia" w:ascii="宋体" w:hAnsi="宋体" w:eastAsia="宋体" w:cs="宋体"/>
          <w:color w:val="030303"/>
          <w:sz w:val="24"/>
          <w:szCs w:val="24"/>
          <w:shd w:val="clear" w:color="auto" w:fill="FFFFFF"/>
        </w:rPr>
        <w:t>年</w:t>
      </w:r>
      <w:r>
        <w:rPr>
          <w:rFonts w:hint="eastAsia" w:ascii="宋体" w:hAnsi="宋体" w:eastAsia="宋体" w:cs="宋体"/>
          <w:color w:val="030303"/>
          <w:sz w:val="24"/>
          <w:szCs w:val="24"/>
          <w:shd w:val="clear" w:color="auto" w:fill="FFFFFF"/>
          <w:lang w:val="en-US" w:eastAsia="zh-CN"/>
        </w:rPr>
        <w:t>6</w:t>
      </w:r>
      <w:r>
        <w:rPr>
          <w:rFonts w:hint="eastAsia" w:ascii="宋体" w:hAnsi="宋体" w:eastAsia="宋体" w:cs="宋体"/>
          <w:color w:val="030303"/>
          <w:sz w:val="24"/>
          <w:szCs w:val="24"/>
          <w:shd w:val="clear" w:color="auto" w:fill="FFFFFF"/>
        </w:rPr>
        <w:t>月</w:t>
      </w:r>
      <w:r>
        <w:rPr>
          <w:rFonts w:hint="eastAsia" w:ascii="宋体" w:hAnsi="宋体" w:eastAsia="宋体" w:cs="宋体"/>
          <w:color w:val="030303"/>
          <w:sz w:val="24"/>
          <w:szCs w:val="24"/>
          <w:shd w:val="clear" w:color="auto" w:fill="FFFFFF"/>
          <w:lang w:val="en-US" w:eastAsia="zh-CN"/>
        </w:rPr>
        <w:t>23</w:t>
      </w:r>
      <w:r>
        <w:rPr>
          <w:rFonts w:hint="eastAsia" w:ascii="宋体" w:hAnsi="宋体" w:eastAsia="宋体" w:cs="宋体"/>
          <w:color w:val="030303"/>
          <w:sz w:val="24"/>
          <w:szCs w:val="24"/>
          <w:shd w:val="clear" w:color="auto" w:fill="FFFFFF"/>
        </w:rPr>
        <w:t>日</w:t>
      </w:r>
      <w:r>
        <w:rPr>
          <w:rFonts w:hint="eastAsia" w:ascii="宋体" w:hAnsi="宋体" w:eastAsia="宋体" w:cs="宋体"/>
          <w:color w:val="030303"/>
          <w:sz w:val="24"/>
          <w:szCs w:val="24"/>
          <w:shd w:val="clear" w:color="auto" w:fill="FFFFFF"/>
          <w:lang w:val="en-US" w:eastAsia="zh-CN"/>
        </w:rPr>
        <w:t>10</w:t>
      </w:r>
      <w:r>
        <w:rPr>
          <w:rFonts w:hint="eastAsia" w:ascii="宋体" w:hAnsi="宋体" w:eastAsia="宋体" w:cs="宋体"/>
          <w:color w:val="030303"/>
          <w:sz w:val="24"/>
          <w:szCs w:val="24"/>
          <w:shd w:val="clear" w:color="auto" w:fill="FFFFFF"/>
        </w:rPr>
        <w:t>:30（北京时间）</w:t>
      </w:r>
    </w:p>
    <w:p w14:paraId="1922D27D">
      <w:pPr>
        <w:pStyle w:val="11"/>
        <w:widowControl/>
        <w:spacing w:before="120" w:beforeAutospacing="0" w:after="12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十、开标地址：</w:t>
      </w:r>
      <w:r>
        <w:rPr>
          <w:rFonts w:hint="eastAsia" w:ascii="宋体" w:hAnsi="宋体" w:eastAsia="宋体" w:cs="宋体"/>
          <w:color w:val="030303"/>
          <w:sz w:val="24"/>
          <w:szCs w:val="24"/>
          <w:shd w:val="clear" w:fill="FFFFFF"/>
        </w:rPr>
        <w:t>科创服务中心大楼</w:t>
      </w:r>
      <w:r>
        <w:rPr>
          <w:rFonts w:hint="eastAsia" w:ascii="宋体" w:hAnsi="宋体" w:eastAsia="宋体" w:cs="宋体"/>
          <w:color w:val="030303"/>
          <w:sz w:val="24"/>
          <w:szCs w:val="24"/>
          <w:shd w:val="clear" w:color="auto" w:fill="FFFFFF"/>
        </w:rPr>
        <w:t>宁国市永祥电力工程技术有限公司</w:t>
      </w:r>
      <w:r>
        <w:rPr>
          <w:rFonts w:hint="eastAsia" w:ascii="宋体" w:hAnsi="宋体" w:eastAsia="宋体" w:cs="宋体"/>
          <w:color w:val="030303"/>
          <w:sz w:val="24"/>
          <w:szCs w:val="24"/>
          <w:shd w:val="clear" w:color="auto" w:fill="FFFFFF"/>
          <w:lang w:eastAsia="zh-CN"/>
        </w:rPr>
        <w:t>七</w:t>
      </w:r>
      <w:r>
        <w:rPr>
          <w:rFonts w:hint="eastAsia" w:ascii="宋体" w:hAnsi="宋体" w:eastAsia="宋体" w:cs="宋体"/>
          <w:color w:val="030303"/>
          <w:sz w:val="24"/>
          <w:szCs w:val="24"/>
          <w:shd w:val="clear" w:color="auto" w:fill="FFFFFF"/>
        </w:rPr>
        <w:t>楼会议室</w:t>
      </w:r>
    </w:p>
    <w:p w14:paraId="5191A4E9">
      <w:pPr>
        <w:pStyle w:val="11"/>
        <w:widowControl/>
        <w:spacing w:beforeAutospacing="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十一、投标保证金：无</w:t>
      </w:r>
    </w:p>
    <w:p w14:paraId="33E99BF0">
      <w:pPr>
        <w:pStyle w:val="11"/>
        <w:widowControl/>
        <w:spacing w:before="120" w:beforeAutospacing="0" w:after="12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十二、公告期限：</w:t>
      </w:r>
      <w:r>
        <w:rPr>
          <w:rFonts w:hint="eastAsia" w:ascii="宋体" w:hAnsi="宋体" w:eastAsia="宋体" w:cs="宋体"/>
          <w:color w:val="030303"/>
          <w:sz w:val="24"/>
          <w:szCs w:val="24"/>
          <w:shd w:val="clear" w:color="auto" w:fill="FFFFFF"/>
          <w:lang w:val="en-US" w:eastAsia="zh-CN"/>
        </w:rPr>
        <w:t>4</w:t>
      </w:r>
      <w:r>
        <w:rPr>
          <w:rFonts w:hint="eastAsia" w:ascii="宋体" w:hAnsi="宋体" w:eastAsia="宋体" w:cs="宋体"/>
          <w:color w:val="030303"/>
          <w:sz w:val="24"/>
          <w:szCs w:val="24"/>
          <w:shd w:val="clear" w:color="auto" w:fill="FFFFFF"/>
        </w:rPr>
        <w:t>个工作日</w:t>
      </w:r>
    </w:p>
    <w:p w14:paraId="720614BF">
      <w:pPr>
        <w:pStyle w:val="11"/>
        <w:widowControl/>
        <w:spacing w:before="120" w:beforeAutospacing="0" w:after="120" w:afterAutospacing="0" w:line="360" w:lineRule="auto"/>
        <w:ind w:left="390" w:leftChars="0" w:right="390"/>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十三、其他事项：</w:t>
      </w:r>
    </w:p>
    <w:p w14:paraId="46A742B9">
      <w:pPr>
        <w:pStyle w:val="11"/>
        <w:widowControl/>
        <w:spacing w:before="120" w:beforeAutospacing="0" w:after="120" w:afterAutospacing="0" w:line="360" w:lineRule="auto"/>
        <w:ind w:left="390" w:leftChars="0" w:right="390" w:firstLine="225"/>
        <w:jc w:val="left"/>
        <w:rPr>
          <w:rFonts w:hint="eastAsia" w:ascii="宋体" w:hAnsi="宋体" w:eastAsia="宋体" w:cs="宋体"/>
          <w:color w:val="030303"/>
          <w:sz w:val="24"/>
          <w:szCs w:val="24"/>
          <w:shd w:val="clear" w:color="auto" w:fill="FFFFFF"/>
        </w:rPr>
      </w:pPr>
      <w:r>
        <w:rPr>
          <w:rFonts w:hint="eastAsia" w:ascii="宋体" w:hAnsi="宋体" w:eastAsia="宋体" w:cs="宋体"/>
          <w:color w:val="030303"/>
          <w:sz w:val="24"/>
          <w:szCs w:val="24"/>
          <w:shd w:val="clear" w:color="auto" w:fill="FFFFFF"/>
        </w:rPr>
        <w:t>1、采购单位：宁国市永祥电力工程技术有限公司</w:t>
      </w:r>
    </w:p>
    <w:p w14:paraId="1074AE87">
      <w:pPr>
        <w:pStyle w:val="11"/>
        <w:widowControl/>
        <w:spacing w:before="120" w:beforeAutospacing="0" w:after="120" w:afterAutospacing="0" w:line="360" w:lineRule="auto"/>
        <w:ind w:left="390" w:leftChars="0" w:right="390" w:firstLine="734" w:firstLineChars="306"/>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地址：安徽省宁国市经济技术开发区宁阳西路45号。</w:t>
      </w:r>
    </w:p>
    <w:p w14:paraId="50AE024A">
      <w:pPr>
        <w:pStyle w:val="11"/>
        <w:widowControl/>
        <w:spacing w:before="120" w:beforeAutospacing="0" w:after="120" w:afterAutospacing="0" w:line="360" w:lineRule="auto"/>
        <w:ind w:left="390" w:leftChars="0" w:right="390" w:firstLine="734" w:firstLineChars="306"/>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联系人：程先生</w:t>
      </w:r>
    </w:p>
    <w:p w14:paraId="0DAF66CD">
      <w:pPr>
        <w:pStyle w:val="11"/>
        <w:widowControl/>
        <w:spacing w:before="120" w:beforeAutospacing="0" w:after="120" w:afterAutospacing="0" w:line="360" w:lineRule="auto"/>
        <w:ind w:left="390" w:leftChars="0" w:right="390" w:firstLine="734" w:firstLineChars="306"/>
        <w:jc w:val="left"/>
        <w:rPr>
          <w:rFonts w:hint="eastAsia" w:ascii="宋体" w:hAnsi="宋体" w:eastAsia="宋体" w:cs="宋体"/>
          <w:sz w:val="24"/>
          <w:szCs w:val="24"/>
        </w:rPr>
      </w:pPr>
      <w:r>
        <w:rPr>
          <w:rFonts w:hint="eastAsia" w:ascii="宋体" w:hAnsi="宋体" w:eastAsia="宋体" w:cs="宋体"/>
          <w:color w:val="030303"/>
          <w:sz w:val="24"/>
          <w:szCs w:val="24"/>
          <w:shd w:val="clear" w:color="auto" w:fill="FFFFFF"/>
        </w:rPr>
        <w:t>联系电话：15345639105</w:t>
      </w:r>
    </w:p>
    <w:p w14:paraId="42AD4C73">
      <w:pPr>
        <w:numPr>
          <w:ilvl w:val="0"/>
          <w:numId w:val="10"/>
        </w:numPr>
        <w:spacing w:line="360" w:lineRule="auto"/>
        <w:ind w:left="0" w:leftChars="0"/>
        <w:jc w:val="left"/>
        <w:rPr>
          <w:rFonts w:hint="eastAsia" w:ascii="宋体" w:hAnsi="宋体" w:eastAsia="宋体" w:cs="宋体"/>
          <w:color w:val="030303"/>
          <w:kern w:val="0"/>
          <w:sz w:val="24"/>
          <w:szCs w:val="24"/>
          <w:shd w:val="clear" w:color="auto" w:fill="FFFFFF"/>
          <w:lang w:bidi="ar"/>
        </w:rPr>
      </w:pPr>
      <w:r>
        <w:rPr>
          <w:rFonts w:hint="eastAsia" w:ascii="宋体" w:hAnsi="宋体" w:eastAsia="宋体" w:cs="宋体"/>
          <w:color w:val="030303"/>
          <w:kern w:val="0"/>
          <w:sz w:val="24"/>
          <w:szCs w:val="24"/>
          <w:shd w:val="clear" w:color="auto" w:fill="FFFFFF"/>
          <w:lang w:bidi="ar"/>
        </w:rPr>
        <w:t>封装要求：密封报价、封套上注明工程名称、包号、报价单位。</w:t>
      </w:r>
    </w:p>
    <w:p w14:paraId="06E8F1D3">
      <w:pPr>
        <w:pStyle w:val="26"/>
        <w:widowControl w:val="0"/>
        <w:spacing w:before="0" w:beforeAutospacing="0" w:after="0" w:afterAutospacing="0" w:line="550" w:lineRule="exact"/>
        <w:jc w:val="both"/>
        <w:rPr>
          <w:rFonts w:eastAsia="宋体" w:cs="宋体"/>
          <w:b/>
        </w:rPr>
      </w:pPr>
      <w:r>
        <w:rPr>
          <w:rFonts w:hint="eastAsia" w:eastAsia="宋体" w:cs="宋体"/>
          <w:b/>
        </w:rPr>
        <w:t>评分办法</w:t>
      </w:r>
    </w:p>
    <w:p w14:paraId="02255E67"/>
    <w:tbl>
      <w:tblPr>
        <w:tblStyle w:val="27"/>
        <w:tblW w:w="950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12"/>
        <w:gridCol w:w="1854"/>
        <w:gridCol w:w="6734"/>
      </w:tblGrid>
      <w:tr w14:paraId="080B23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912" w:type="dxa"/>
            <w:tcBorders>
              <w:top w:val="single" w:color="000000" w:sz="2" w:space="0"/>
              <w:bottom w:val="single" w:color="auto" w:sz="4" w:space="0"/>
            </w:tcBorders>
            <w:vAlign w:val="center"/>
          </w:tcPr>
          <w:p w14:paraId="6DF271C3">
            <w:pPr>
              <w:spacing w:before="144" w:line="240" w:lineRule="auto"/>
              <w:ind w:left="204"/>
              <w:jc w:val="center"/>
              <w:rPr>
                <w:rFonts w:hint="eastAsia" w:ascii="宋体" w:hAnsi="宋体" w:eastAsia="宋体" w:cs="宋体"/>
                <w:sz w:val="21"/>
                <w:szCs w:val="21"/>
              </w:rPr>
            </w:pPr>
            <w:r>
              <w:rPr>
                <w:rFonts w:hint="eastAsia" w:ascii="宋体" w:hAnsi="宋体" w:eastAsia="宋体" w:cs="宋体"/>
                <w:spacing w:val="7"/>
                <w:sz w:val="21"/>
                <w:szCs w:val="21"/>
              </w:rPr>
              <w:t>序号</w:t>
            </w:r>
          </w:p>
        </w:tc>
        <w:tc>
          <w:tcPr>
            <w:tcW w:w="1854" w:type="dxa"/>
            <w:tcBorders>
              <w:top w:val="single" w:color="000000" w:sz="2" w:space="0"/>
              <w:bottom w:val="single" w:color="auto" w:sz="4" w:space="0"/>
            </w:tcBorders>
            <w:vAlign w:val="center"/>
          </w:tcPr>
          <w:p w14:paraId="04CCE9FC">
            <w:pPr>
              <w:spacing w:before="144" w:line="240" w:lineRule="auto"/>
              <w:ind w:left="122"/>
              <w:jc w:val="center"/>
              <w:rPr>
                <w:rFonts w:hint="eastAsia" w:ascii="宋体" w:hAnsi="宋体" w:eastAsia="宋体" w:cs="宋体"/>
                <w:sz w:val="21"/>
                <w:szCs w:val="21"/>
              </w:rPr>
            </w:pPr>
            <w:r>
              <w:rPr>
                <w:rFonts w:hint="eastAsia" w:ascii="宋体" w:hAnsi="宋体" w:eastAsia="宋体" w:cs="宋体"/>
                <w:spacing w:val="12"/>
                <w:sz w:val="21"/>
                <w:szCs w:val="21"/>
              </w:rPr>
              <w:t>评</w:t>
            </w:r>
            <w:r>
              <w:rPr>
                <w:rFonts w:hint="eastAsia" w:ascii="宋体" w:hAnsi="宋体" w:eastAsia="宋体" w:cs="宋体"/>
                <w:spacing w:val="9"/>
                <w:sz w:val="21"/>
                <w:szCs w:val="21"/>
              </w:rPr>
              <w:t>审因素</w:t>
            </w:r>
          </w:p>
        </w:tc>
        <w:tc>
          <w:tcPr>
            <w:tcW w:w="6734" w:type="dxa"/>
            <w:tcBorders>
              <w:top w:val="single" w:color="000000" w:sz="2" w:space="0"/>
              <w:bottom w:val="single" w:color="auto" w:sz="4" w:space="0"/>
            </w:tcBorders>
            <w:vAlign w:val="center"/>
          </w:tcPr>
          <w:p w14:paraId="2A38163B">
            <w:pPr>
              <w:spacing w:before="145" w:line="240" w:lineRule="auto"/>
              <w:ind w:left="2858"/>
              <w:jc w:val="left"/>
              <w:rPr>
                <w:rFonts w:hint="eastAsia" w:ascii="宋体" w:hAnsi="宋体" w:eastAsia="宋体" w:cs="宋体"/>
                <w:sz w:val="21"/>
                <w:szCs w:val="21"/>
              </w:rPr>
            </w:pPr>
            <w:r>
              <w:rPr>
                <w:rFonts w:hint="eastAsia" w:ascii="宋体" w:hAnsi="宋体" w:eastAsia="宋体" w:cs="宋体"/>
                <w:spacing w:val="12"/>
                <w:sz w:val="21"/>
                <w:szCs w:val="21"/>
              </w:rPr>
              <w:t>评</w:t>
            </w:r>
            <w:r>
              <w:rPr>
                <w:rFonts w:hint="eastAsia" w:ascii="宋体" w:hAnsi="宋体" w:eastAsia="宋体" w:cs="宋体"/>
                <w:spacing w:val="9"/>
                <w:sz w:val="21"/>
                <w:szCs w:val="21"/>
              </w:rPr>
              <w:t>审标准</w:t>
            </w:r>
          </w:p>
        </w:tc>
      </w:tr>
      <w:tr w14:paraId="236097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7" w:hRule="atLeast"/>
        </w:trPr>
        <w:tc>
          <w:tcPr>
            <w:tcW w:w="912" w:type="dxa"/>
            <w:tcBorders>
              <w:top w:val="single" w:color="auto" w:sz="4" w:space="0"/>
              <w:bottom w:val="single" w:color="auto" w:sz="4" w:space="0"/>
            </w:tcBorders>
            <w:vAlign w:val="center"/>
          </w:tcPr>
          <w:p w14:paraId="34C2635C">
            <w:pPr>
              <w:spacing w:line="240" w:lineRule="auto"/>
              <w:jc w:val="center"/>
              <w:rPr>
                <w:rFonts w:hint="eastAsia" w:ascii="宋体" w:hAnsi="宋体" w:eastAsia="宋体" w:cs="宋体"/>
                <w:sz w:val="21"/>
                <w:szCs w:val="21"/>
              </w:rPr>
            </w:pPr>
          </w:p>
          <w:p w14:paraId="6B5672DC">
            <w:pPr>
              <w:spacing w:before="64" w:line="240" w:lineRule="auto"/>
              <w:ind w:firstLine="416" w:firstLineChars="200"/>
              <w:rPr>
                <w:rFonts w:hint="eastAsia" w:ascii="宋体" w:hAnsi="宋体" w:eastAsia="宋体" w:cs="宋体"/>
                <w:sz w:val="21"/>
                <w:szCs w:val="21"/>
              </w:rPr>
            </w:pPr>
            <w:r>
              <w:rPr>
                <w:rFonts w:hint="eastAsia" w:ascii="宋体" w:hAnsi="宋体" w:eastAsia="宋体" w:cs="宋体"/>
                <w:spacing w:val="-1"/>
                <w:sz w:val="21"/>
                <w:szCs w:val="21"/>
              </w:rPr>
              <w:t>1</w:t>
            </w:r>
          </w:p>
        </w:tc>
        <w:tc>
          <w:tcPr>
            <w:tcW w:w="1854" w:type="dxa"/>
            <w:tcBorders>
              <w:top w:val="single" w:color="auto" w:sz="4" w:space="0"/>
              <w:bottom w:val="single" w:color="auto" w:sz="4" w:space="0"/>
            </w:tcBorders>
            <w:vAlign w:val="center"/>
          </w:tcPr>
          <w:p w14:paraId="5CA610F5">
            <w:pPr>
              <w:spacing w:before="69" w:line="240" w:lineRule="auto"/>
              <w:ind w:right="301"/>
              <w:jc w:val="center"/>
              <w:rPr>
                <w:rFonts w:hint="eastAsia" w:ascii="宋体" w:hAnsi="宋体" w:eastAsia="宋体" w:cs="宋体"/>
                <w:sz w:val="21"/>
                <w:szCs w:val="21"/>
              </w:rPr>
            </w:pPr>
            <w:r>
              <w:rPr>
                <w:rFonts w:hint="eastAsia" w:ascii="宋体" w:hAnsi="宋体" w:eastAsia="宋体" w:cs="宋体"/>
                <w:spacing w:val="-4"/>
                <w:sz w:val="21"/>
                <w:szCs w:val="21"/>
              </w:rPr>
              <w:t>分</w:t>
            </w:r>
            <w:r>
              <w:rPr>
                <w:rFonts w:hint="eastAsia" w:ascii="宋体" w:hAnsi="宋体" w:eastAsia="宋体" w:cs="宋体"/>
                <w:spacing w:val="-2"/>
                <w:sz w:val="21"/>
                <w:szCs w:val="21"/>
              </w:rPr>
              <w:t>值构成</w:t>
            </w:r>
          </w:p>
          <w:p w14:paraId="2F96CE33">
            <w:pPr>
              <w:spacing w:before="69" w:line="240" w:lineRule="auto"/>
              <w:ind w:right="301"/>
              <w:jc w:val="center"/>
              <w:rPr>
                <w:rFonts w:hint="eastAsia" w:ascii="宋体" w:hAnsi="宋体" w:eastAsia="宋体" w:cs="宋体"/>
                <w:sz w:val="21"/>
                <w:szCs w:val="21"/>
              </w:rPr>
            </w:pPr>
            <w:r>
              <w:rPr>
                <w:rFonts w:hint="eastAsia" w:ascii="宋体" w:hAnsi="宋体" w:eastAsia="宋体" w:cs="宋体"/>
                <w:spacing w:val="14"/>
                <w:sz w:val="21"/>
                <w:szCs w:val="21"/>
              </w:rPr>
              <w:t>(</w:t>
            </w:r>
            <w:r>
              <w:rPr>
                <w:rFonts w:hint="eastAsia" w:ascii="宋体" w:hAnsi="宋体" w:eastAsia="宋体" w:cs="宋体"/>
                <w:spacing w:val="12"/>
                <w:sz w:val="21"/>
                <w:szCs w:val="21"/>
              </w:rPr>
              <w:t>100分)</w:t>
            </w:r>
          </w:p>
        </w:tc>
        <w:tc>
          <w:tcPr>
            <w:tcW w:w="6734" w:type="dxa"/>
            <w:tcBorders>
              <w:top w:val="single" w:color="auto" w:sz="4" w:space="0"/>
              <w:bottom w:val="single" w:color="000000" w:sz="2" w:space="0"/>
            </w:tcBorders>
            <w:vAlign w:val="center"/>
          </w:tcPr>
          <w:p w14:paraId="645FD63D">
            <w:pPr>
              <w:spacing w:before="154" w:line="240" w:lineRule="auto"/>
              <w:ind w:firstLine="728" w:firstLineChars="400"/>
              <w:jc w:val="center"/>
              <w:rPr>
                <w:rFonts w:hint="eastAsia" w:ascii="宋体" w:hAnsi="宋体" w:eastAsia="宋体" w:cs="宋体"/>
                <w:color w:val="000000"/>
                <w:sz w:val="21"/>
                <w:szCs w:val="21"/>
              </w:rPr>
            </w:pPr>
            <w:r>
              <w:rPr>
                <w:rFonts w:hint="eastAsia" w:ascii="宋体" w:hAnsi="宋体" w:eastAsia="宋体" w:cs="宋体"/>
                <w:spacing w:val="-14"/>
                <w:sz w:val="21"/>
                <w:szCs w:val="21"/>
              </w:rPr>
              <w:t>投</w:t>
            </w:r>
            <w:r>
              <w:rPr>
                <w:rFonts w:hint="eastAsia" w:ascii="宋体" w:hAnsi="宋体" w:eastAsia="宋体" w:cs="宋体"/>
                <w:spacing w:val="-9"/>
                <w:sz w:val="21"/>
                <w:szCs w:val="21"/>
              </w:rPr>
              <w:t>标</w:t>
            </w:r>
            <w:r>
              <w:rPr>
                <w:rFonts w:hint="eastAsia" w:ascii="宋体" w:hAnsi="宋体" w:eastAsia="宋体" w:cs="宋体"/>
                <w:spacing w:val="-7"/>
                <w:sz w:val="21"/>
                <w:szCs w:val="21"/>
              </w:rPr>
              <w:t>报价</w:t>
            </w:r>
            <w:r>
              <w:rPr>
                <w:rFonts w:hint="eastAsia" w:ascii="宋体" w:hAnsi="宋体" w:eastAsia="宋体" w:cs="宋体"/>
                <w:color w:val="000000"/>
                <w:spacing w:val="-7"/>
                <w:sz w:val="21"/>
                <w:szCs w:val="21"/>
              </w:rPr>
              <w:t>：              80 分；</w:t>
            </w:r>
          </w:p>
          <w:p w14:paraId="67A372B6">
            <w:pPr>
              <w:spacing w:before="112" w:line="240" w:lineRule="auto"/>
              <w:ind w:firstLine="712" w:firstLineChars="400"/>
              <w:jc w:val="center"/>
              <w:rPr>
                <w:rFonts w:hint="eastAsia" w:ascii="宋体" w:hAnsi="宋体" w:eastAsia="宋体" w:cs="宋体"/>
                <w:sz w:val="21"/>
                <w:szCs w:val="21"/>
              </w:rPr>
            </w:pPr>
            <w:r>
              <w:rPr>
                <w:rFonts w:hint="eastAsia" w:ascii="宋体" w:hAnsi="宋体" w:eastAsia="宋体" w:cs="宋体"/>
                <w:color w:val="000000"/>
                <w:spacing w:val="-16"/>
                <w:sz w:val="21"/>
                <w:szCs w:val="21"/>
              </w:rPr>
              <w:t>企业履约等级</w:t>
            </w:r>
            <w:r>
              <w:rPr>
                <w:rFonts w:hint="eastAsia" w:ascii="宋体" w:hAnsi="宋体" w:eastAsia="宋体" w:cs="宋体"/>
                <w:color w:val="000000"/>
                <w:spacing w:val="-8"/>
                <w:sz w:val="21"/>
                <w:szCs w:val="21"/>
              </w:rPr>
              <w:t>：           10</w:t>
            </w:r>
            <w:r>
              <w:rPr>
                <w:rFonts w:hint="eastAsia" w:ascii="宋体" w:hAnsi="宋体" w:eastAsia="宋体" w:cs="宋体"/>
                <w:spacing w:val="-8"/>
                <w:sz w:val="21"/>
                <w:szCs w:val="21"/>
              </w:rPr>
              <w:t>分；</w:t>
            </w:r>
          </w:p>
          <w:p w14:paraId="675A442C">
            <w:pPr>
              <w:spacing w:before="113" w:line="240" w:lineRule="auto"/>
              <w:ind w:firstLine="728" w:firstLineChars="400"/>
              <w:jc w:val="center"/>
              <w:rPr>
                <w:rFonts w:hint="eastAsia" w:ascii="宋体" w:hAnsi="宋体" w:eastAsia="宋体" w:cs="宋体"/>
                <w:sz w:val="21"/>
                <w:szCs w:val="21"/>
              </w:rPr>
            </w:pPr>
            <w:r>
              <w:rPr>
                <w:rFonts w:hint="eastAsia" w:ascii="宋体" w:hAnsi="宋体" w:eastAsia="宋体" w:cs="宋体"/>
                <w:spacing w:val="-14"/>
                <w:sz w:val="21"/>
                <w:szCs w:val="21"/>
              </w:rPr>
              <w:t>企业综合实力</w:t>
            </w:r>
            <w:r>
              <w:rPr>
                <w:rFonts w:hint="eastAsia" w:ascii="宋体" w:hAnsi="宋体" w:eastAsia="宋体" w:cs="宋体"/>
                <w:spacing w:val="-7"/>
                <w:sz w:val="21"/>
                <w:szCs w:val="21"/>
              </w:rPr>
              <w:t>：          10分。</w:t>
            </w:r>
          </w:p>
        </w:tc>
      </w:tr>
      <w:tr w14:paraId="0B3AB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9" w:hRule="atLeast"/>
        </w:trPr>
        <w:tc>
          <w:tcPr>
            <w:tcW w:w="912" w:type="dxa"/>
            <w:tcBorders>
              <w:top w:val="single" w:color="auto" w:sz="4" w:space="0"/>
              <w:bottom w:val="single" w:color="auto" w:sz="4" w:space="0"/>
            </w:tcBorders>
            <w:vAlign w:val="center"/>
          </w:tcPr>
          <w:p w14:paraId="3C676A0C">
            <w:pPr>
              <w:spacing w:before="64" w:line="240" w:lineRule="auto"/>
              <w:jc w:val="center"/>
              <w:rPr>
                <w:rFonts w:hint="eastAsia" w:ascii="宋体" w:hAnsi="宋体" w:eastAsia="宋体" w:cs="宋体"/>
                <w:spacing w:val="-1"/>
                <w:sz w:val="21"/>
                <w:szCs w:val="21"/>
              </w:rPr>
            </w:pPr>
            <w:r>
              <w:rPr>
                <w:rFonts w:hint="eastAsia" w:ascii="宋体" w:hAnsi="宋体" w:eastAsia="宋体" w:cs="宋体"/>
                <w:spacing w:val="-1"/>
                <w:sz w:val="21"/>
                <w:szCs w:val="21"/>
              </w:rPr>
              <w:t>2</w:t>
            </w:r>
          </w:p>
        </w:tc>
        <w:tc>
          <w:tcPr>
            <w:tcW w:w="1854" w:type="dxa"/>
            <w:tcBorders>
              <w:top w:val="single" w:color="auto" w:sz="4" w:space="0"/>
              <w:bottom w:val="single" w:color="auto" w:sz="4" w:space="0"/>
            </w:tcBorders>
            <w:vAlign w:val="center"/>
          </w:tcPr>
          <w:p w14:paraId="78B5AFBA">
            <w:pPr>
              <w:spacing w:before="68" w:line="240" w:lineRule="auto"/>
              <w:jc w:val="center"/>
              <w:rPr>
                <w:rFonts w:hint="eastAsia" w:ascii="宋体" w:hAnsi="宋体" w:eastAsia="宋体" w:cs="宋体"/>
                <w:snapToGrid w:val="0"/>
                <w:color w:val="000000"/>
                <w:kern w:val="0"/>
                <w:sz w:val="21"/>
                <w:szCs w:val="21"/>
              </w:rPr>
            </w:pPr>
            <w:r>
              <w:rPr>
                <w:rFonts w:hint="eastAsia" w:ascii="宋体" w:hAnsi="宋体" w:eastAsia="宋体" w:cs="宋体"/>
                <w:spacing w:val="-2"/>
                <w:sz w:val="21"/>
                <w:szCs w:val="21"/>
              </w:rPr>
              <w:t>投标报</w:t>
            </w:r>
            <w:r>
              <w:rPr>
                <w:rFonts w:hint="eastAsia" w:ascii="宋体" w:hAnsi="宋体" w:eastAsia="宋体" w:cs="宋体"/>
                <w:spacing w:val="-1"/>
                <w:sz w:val="21"/>
                <w:szCs w:val="21"/>
              </w:rPr>
              <w:t>价（80分）</w:t>
            </w:r>
          </w:p>
        </w:tc>
        <w:tc>
          <w:tcPr>
            <w:tcW w:w="6734" w:type="dxa"/>
            <w:tcBorders>
              <w:top w:val="single" w:color="auto" w:sz="4" w:space="0"/>
              <w:bottom w:val="single" w:color="000000" w:sz="2" w:space="0"/>
            </w:tcBorders>
            <w:vAlign w:val="center"/>
          </w:tcPr>
          <w:p w14:paraId="419591A4">
            <w:pPr>
              <w:spacing w:before="22" w:line="240" w:lineRule="auto"/>
              <w:ind w:firstLine="208" w:firstLineChars="100"/>
              <w:jc w:val="center"/>
              <w:rPr>
                <w:rFonts w:hint="eastAsia" w:ascii="宋体" w:hAnsi="宋体" w:eastAsia="宋体" w:cs="宋体"/>
                <w:snapToGrid w:val="0"/>
                <w:color w:val="000000"/>
                <w:kern w:val="0"/>
                <w:sz w:val="21"/>
                <w:szCs w:val="21"/>
              </w:rPr>
            </w:pPr>
            <w:r>
              <w:rPr>
                <w:rFonts w:hint="eastAsia" w:ascii="宋体" w:hAnsi="宋体" w:eastAsia="宋体" w:cs="宋体"/>
                <w:spacing w:val="-1"/>
                <w:sz w:val="21"/>
                <w:szCs w:val="21"/>
              </w:rPr>
              <w:t xml:space="preserve"> 投标报价等于评标基准值的得 80 分，</w:t>
            </w:r>
            <w:r>
              <w:rPr>
                <w:rFonts w:hint="eastAsia" w:ascii="宋体" w:hAnsi="宋体" w:eastAsia="宋体" w:cs="宋体"/>
                <w:spacing w:val="-6"/>
                <w:sz w:val="21"/>
                <w:szCs w:val="21"/>
              </w:rPr>
              <w:t>每高于评标基准值 1%的扣 0.5分。</w:t>
            </w:r>
            <w:r>
              <w:rPr>
                <w:rFonts w:hint="eastAsia" w:ascii="宋体" w:hAnsi="宋体" w:eastAsia="宋体" w:cs="宋体"/>
                <w:spacing w:val="-3"/>
                <w:sz w:val="21"/>
                <w:szCs w:val="21"/>
              </w:rPr>
              <w:t>投标报价分值=80- [| (投标报价-评标基准值)|/评标</w:t>
            </w:r>
            <w:r>
              <w:rPr>
                <w:rFonts w:hint="eastAsia" w:ascii="宋体" w:hAnsi="宋体" w:eastAsia="宋体" w:cs="宋体"/>
                <w:spacing w:val="-6"/>
                <w:sz w:val="21"/>
                <w:szCs w:val="21"/>
              </w:rPr>
              <w:t>基准值</w:t>
            </w:r>
            <w:r>
              <w:rPr>
                <w:rFonts w:hint="eastAsia" w:ascii="宋体" w:hAnsi="宋体" w:eastAsia="宋体" w:cs="宋体"/>
                <w:spacing w:val="-3"/>
                <w:sz w:val="21"/>
                <w:szCs w:val="21"/>
              </w:rPr>
              <w:t>*100]*0.5</w:t>
            </w:r>
          </w:p>
        </w:tc>
      </w:tr>
      <w:tr w14:paraId="224234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912" w:type="dxa"/>
            <w:tcBorders>
              <w:top w:val="single" w:color="auto" w:sz="4" w:space="0"/>
              <w:bottom w:val="single" w:color="auto" w:sz="4" w:space="0"/>
            </w:tcBorders>
            <w:vAlign w:val="center"/>
          </w:tcPr>
          <w:p w14:paraId="61AE56A7">
            <w:pPr>
              <w:spacing w:before="64" w:line="240" w:lineRule="auto"/>
              <w:jc w:val="center"/>
              <w:rPr>
                <w:rFonts w:hint="eastAsia" w:ascii="宋体" w:hAnsi="宋体" w:eastAsia="宋体" w:cs="宋体"/>
                <w:spacing w:val="-1"/>
                <w:sz w:val="21"/>
                <w:szCs w:val="21"/>
              </w:rPr>
            </w:pPr>
            <w:r>
              <w:rPr>
                <w:rFonts w:hint="eastAsia" w:ascii="宋体" w:hAnsi="宋体" w:eastAsia="宋体" w:cs="宋体"/>
                <w:spacing w:val="-1"/>
                <w:sz w:val="21"/>
                <w:szCs w:val="21"/>
              </w:rPr>
              <w:t>3</w:t>
            </w:r>
          </w:p>
        </w:tc>
        <w:tc>
          <w:tcPr>
            <w:tcW w:w="1854" w:type="dxa"/>
            <w:tcBorders>
              <w:top w:val="single" w:color="auto" w:sz="4" w:space="0"/>
              <w:bottom w:val="single" w:color="auto" w:sz="4" w:space="0"/>
            </w:tcBorders>
            <w:vAlign w:val="center"/>
          </w:tcPr>
          <w:p w14:paraId="6BE4304C">
            <w:pPr>
              <w:spacing w:before="68" w:line="240" w:lineRule="auto"/>
              <w:jc w:val="center"/>
              <w:rPr>
                <w:rFonts w:hint="eastAsia" w:ascii="宋体" w:hAnsi="宋体" w:eastAsia="宋体" w:cs="宋体"/>
                <w:snapToGrid w:val="0"/>
                <w:color w:val="000000"/>
                <w:kern w:val="0"/>
                <w:sz w:val="21"/>
                <w:szCs w:val="21"/>
              </w:rPr>
            </w:pPr>
            <w:r>
              <w:rPr>
                <w:rFonts w:hint="eastAsia" w:ascii="宋体" w:hAnsi="宋体" w:eastAsia="宋体" w:cs="宋体"/>
                <w:spacing w:val="-16"/>
                <w:sz w:val="21"/>
                <w:szCs w:val="21"/>
              </w:rPr>
              <w:t>企业履约等级（10分）</w:t>
            </w:r>
          </w:p>
        </w:tc>
        <w:tc>
          <w:tcPr>
            <w:tcW w:w="6734" w:type="dxa"/>
            <w:tcBorders>
              <w:top w:val="single" w:color="auto" w:sz="4" w:space="0"/>
              <w:bottom w:val="single" w:color="000000" w:sz="2" w:space="0"/>
            </w:tcBorders>
            <w:vAlign w:val="center"/>
          </w:tcPr>
          <w:p w14:paraId="509A3E14">
            <w:pPr>
              <w:spacing w:before="112" w:line="240" w:lineRule="auto"/>
              <w:ind w:firstLine="388" w:firstLineChars="200"/>
              <w:jc w:val="left"/>
              <w:rPr>
                <w:rFonts w:hint="eastAsia" w:ascii="宋体" w:hAnsi="宋体" w:eastAsia="宋体" w:cs="宋体"/>
                <w:snapToGrid w:val="0"/>
                <w:color w:val="000000"/>
                <w:kern w:val="0"/>
                <w:sz w:val="21"/>
                <w:szCs w:val="21"/>
              </w:rPr>
            </w:pPr>
            <w:r>
              <w:rPr>
                <w:rFonts w:hint="eastAsia" w:ascii="宋体" w:hAnsi="宋体" w:eastAsia="宋体" w:cs="宋体"/>
                <w:spacing w:val="-8"/>
                <w:sz w:val="21"/>
                <w:szCs w:val="21"/>
              </w:rPr>
              <w:t>在永祥电力公司签约项目中合同履约优秀的得8-10，良好的得4-7分，一般的得1-3分。（首次参加永祥公司工程投标，无履约业绩的该项按5分计取）</w:t>
            </w:r>
          </w:p>
        </w:tc>
      </w:tr>
      <w:tr w14:paraId="22BBB0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vAlign w:val="center"/>
          </w:tcPr>
          <w:p w14:paraId="24771A44">
            <w:pPr>
              <w:spacing w:before="64" w:line="240" w:lineRule="auto"/>
              <w:jc w:val="center"/>
              <w:rPr>
                <w:rFonts w:hint="eastAsia" w:ascii="宋体" w:hAnsi="宋体" w:eastAsia="宋体" w:cs="宋体"/>
                <w:snapToGrid w:val="0"/>
                <w:color w:val="000000"/>
                <w:spacing w:val="-1"/>
                <w:kern w:val="0"/>
                <w:sz w:val="21"/>
                <w:szCs w:val="21"/>
              </w:rPr>
            </w:pPr>
            <w:r>
              <w:rPr>
                <w:rFonts w:hint="eastAsia" w:ascii="宋体" w:hAnsi="宋体" w:eastAsia="宋体" w:cs="宋体"/>
                <w:spacing w:val="-1"/>
                <w:sz w:val="21"/>
                <w:szCs w:val="21"/>
              </w:rPr>
              <w:t>4</w:t>
            </w:r>
          </w:p>
        </w:tc>
        <w:tc>
          <w:tcPr>
            <w:tcW w:w="1854" w:type="dxa"/>
            <w:tcBorders>
              <w:top w:val="single" w:color="auto" w:sz="4" w:space="0"/>
              <w:bottom w:val="single" w:color="auto" w:sz="4" w:space="0"/>
            </w:tcBorders>
            <w:vAlign w:val="center"/>
          </w:tcPr>
          <w:p w14:paraId="43B19142">
            <w:pPr>
              <w:spacing w:before="68" w:line="240" w:lineRule="auto"/>
              <w:jc w:val="center"/>
              <w:rPr>
                <w:rFonts w:hint="eastAsia" w:ascii="宋体" w:hAnsi="宋体" w:eastAsia="宋体" w:cs="宋体"/>
                <w:snapToGrid w:val="0"/>
                <w:color w:val="000000"/>
                <w:kern w:val="0"/>
                <w:sz w:val="21"/>
                <w:szCs w:val="21"/>
              </w:rPr>
            </w:pPr>
            <w:r>
              <w:rPr>
                <w:rFonts w:hint="eastAsia" w:ascii="宋体" w:hAnsi="宋体" w:eastAsia="宋体" w:cs="宋体"/>
                <w:spacing w:val="-14"/>
                <w:sz w:val="21"/>
                <w:szCs w:val="21"/>
              </w:rPr>
              <w:t>企业综合实力</w:t>
            </w:r>
            <w:r>
              <w:rPr>
                <w:rFonts w:hint="eastAsia" w:ascii="宋体" w:hAnsi="宋体" w:eastAsia="宋体" w:cs="宋体"/>
                <w:spacing w:val="-16"/>
                <w:sz w:val="21"/>
                <w:szCs w:val="21"/>
              </w:rPr>
              <w:t>（10分）</w:t>
            </w:r>
          </w:p>
        </w:tc>
        <w:tc>
          <w:tcPr>
            <w:tcW w:w="6734" w:type="dxa"/>
            <w:tcBorders>
              <w:top w:val="single" w:color="auto" w:sz="4" w:space="0"/>
              <w:bottom w:val="single" w:color="auto" w:sz="4" w:space="0"/>
            </w:tcBorders>
            <w:vAlign w:val="center"/>
          </w:tcPr>
          <w:p w14:paraId="34B8626E">
            <w:pPr>
              <w:spacing w:before="38" w:line="240" w:lineRule="auto"/>
              <w:ind w:firstLine="388" w:firstLineChars="200"/>
              <w:jc w:val="left"/>
              <w:rPr>
                <w:rFonts w:hint="eastAsia" w:ascii="宋体" w:hAnsi="宋体" w:eastAsia="宋体" w:cs="宋体"/>
                <w:snapToGrid w:val="0"/>
                <w:color w:val="000000"/>
                <w:kern w:val="0"/>
                <w:sz w:val="21"/>
                <w:szCs w:val="21"/>
              </w:rPr>
            </w:pPr>
            <w:r>
              <w:rPr>
                <w:rFonts w:hint="eastAsia" w:ascii="宋体" w:hAnsi="宋体" w:eastAsia="宋体" w:cs="宋体"/>
                <w:spacing w:val="-8"/>
                <w:sz w:val="21"/>
                <w:szCs w:val="21"/>
              </w:rPr>
              <w:t>对投标企业综合实力进行评定，优秀的得8-10，良好的得4-7分，一般的得1-3分。</w:t>
            </w:r>
          </w:p>
        </w:tc>
      </w:tr>
      <w:tr w14:paraId="149060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vAlign w:val="center"/>
          </w:tcPr>
          <w:p w14:paraId="28A5483C">
            <w:pPr>
              <w:spacing w:before="64" w:line="240" w:lineRule="auto"/>
              <w:jc w:val="center"/>
              <w:rPr>
                <w:rFonts w:hint="eastAsia" w:ascii="宋体" w:hAnsi="宋体" w:eastAsia="宋体" w:cs="宋体"/>
                <w:snapToGrid w:val="0"/>
                <w:color w:val="000000"/>
                <w:spacing w:val="-1"/>
                <w:kern w:val="0"/>
                <w:sz w:val="21"/>
                <w:szCs w:val="21"/>
              </w:rPr>
            </w:pPr>
            <w:r>
              <w:rPr>
                <w:rFonts w:hint="eastAsia" w:ascii="宋体" w:hAnsi="宋体" w:eastAsia="宋体" w:cs="宋体"/>
                <w:spacing w:val="-1"/>
                <w:sz w:val="21"/>
                <w:szCs w:val="21"/>
              </w:rPr>
              <w:t>5</w:t>
            </w:r>
          </w:p>
        </w:tc>
        <w:tc>
          <w:tcPr>
            <w:tcW w:w="1854" w:type="dxa"/>
            <w:tcBorders>
              <w:top w:val="single" w:color="auto" w:sz="4" w:space="0"/>
              <w:bottom w:val="single" w:color="auto" w:sz="4" w:space="0"/>
            </w:tcBorders>
            <w:vAlign w:val="center"/>
          </w:tcPr>
          <w:p w14:paraId="48A330AB">
            <w:pPr>
              <w:spacing w:before="68" w:line="240" w:lineRule="auto"/>
              <w:jc w:val="center"/>
              <w:rPr>
                <w:rFonts w:hint="eastAsia" w:ascii="宋体" w:hAnsi="宋体" w:eastAsia="宋体" w:cs="宋体"/>
                <w:snapToGrid w:val="0"/>
                <w:color w:val="000000"/>
                <w:kern w:val="0"/>
                <w:sz w:val="21"/>
                <w:szCs w:val="21"/>
              </w:rPr>
            </w:pPr>
            <w:r>
              <w:rPr>
                <w:rFonts w:hint="eastAsia" w:ascii="宋体" w:hAnsi="宋体" w:eastAsia="宋体" w:cs="宋体"/>
                <w:spacing w:val="-14"/>
                <w:sz w:val="21"/>
                <w:szCs w:val="21"/>
              </w:rPr>
              <w:t>备注</w:t>
            </w:r>
          </w:p>
        </w:tc>
        <w:tc>
          <w:tcPr>
            <w:tcW w:w="6734" w:type="dxa"/>
            <w:tcBorders>
              <w:top w:val="single" w:color="auto" w:sz="4" w:space="0"/>
              <w:bottom w:val="single" w:color="000000" w:sz="2" w:space="0"/>
            </w:tcBorders>
            <w:vAlign w:val="center"/>
          </w:tcPr>
          <w:p w14:paraId="5D286424">
            <w:pPr>
              <w:spacing w:before="38" w:line="240" w:lineRule="auto"/>
              <w:ind w:firstLine="388" w:firstLineChars="200"/>
              <w:jc w:val="left"/>
              <w:rPr>
                <w:rFonts w:hint="eastAsia" w:ascii="宋体" w:hAnsi="宋体" w:eastAsia="宋体" w:cs="宋体"/>
                <w:snapToGrid w:val="0"/>
                <w:color w:val="000000"/>
                <w:kern w:val="0"/>
                <w:sz w:val="21"/>
                <w:szCs w:val="21"/>
              </w:rPr>
            </w:pPr>
            <w:r>
              <w:rPr>
                <w:rFonts w:hint="eastAsia" w:ascii="宋体" w:hAnsi="宋体" w:eastAsia="宋体" w:cs="宋体"/>
                <w:spacing w:val="-8"/>
                <w:sz w:val="21"/>
                <w:szCs w:val="21"/>
              </w:rPr>
              <w:t>本工程</w:t>
            </w:r>
            <w:r>
              <w:rPr>
                <w:rFonts w:hint="eastAsia" w:ascii="宋体" w:hAnsi="宋体" w:eastAsia="宋体" w:cs="宋体"/>
                <w:spacing w:val="-6"/>
                <w:sz w:val="21"/>
                <w:szCs w:val="21"/>
              </w:rPr>
              <w:t>评标基准值为有效最低价。</w:t>
            </w:r>
          </w:p>
        </w:tc>
      </w:tr>
    </w:tbl>
    <w:p w14:paraId="42125C6F"/>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58E332"/>
    <w:multiLevelType w:val="multilevel"/>
    <w:tmpl w:val="8758E332"/>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pStyle w:val="19"/>
      <w:lvlText w:val="%1.%2.%3."/>
      <w:lvlJc w:val="left"/>
      <w:pPr>
        <w:ind w:left="720" w:hanging="720"/>
      </w:pPr>
      <w:rPr>
        <w:rFonts w:hint="default" w:ascii="宋体" w:hAnsi="宋体" w:eastAsia="宋体" w:cs="宋体"/>
      </w:rPr>
    </w:lvl>
    <w:lvl w:ilvl="3" w:tentative="0">
      <w:start w:val="1"/>
      <w:numFmt w:val="decimal"/>
      <w:lvlRestart w:val="0"/>
      <w:lvlText w:val="%1.%2.%3.%4."/>
      <w:lvlJc w:val="left"/>
      <w:pPr>
        <w:ind w:left="864" w:hanging="864"/>
      </w:pPr>
      <w:rPr>
        <w:rFonts w:hint="default" w:ascii="宋体" w:hAnsi="宋体" w:eastAsia="宋体" w:cs="宋体"/>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B0FA004A"/>
    <w:multiLevelType w:val="multilevel"/>
    <w:tmpl w:val="B0FA004A"/>
    <w:lvl w:ilvl="0" w:tentative="0">
      <w:start w:val="1"/>
      <w:numFmt w:val="none"/>
      <w:pStyle w:val="21"/>
      <w:lvlText w:val="第一章%1"/>
      <w:lvlJc w:val="left"/>
      <w:pPr>
        <w:ind w:left="0" w:firstLine="0"/>
      </w:pPr>
      <w:rPr>
        <w:rFonts w:hint="default" w:ascii="宋体" w:hAnsi="宋体" w:eastAsia="宋体" w:cs="宋体"/>
      </w:rPr>
    </w:lvl>
    <w:lvl w:ilvl="1" w:tentative="0">
      <w:start w:val="1"/>
      <w:numFmt w:val="none"/>
      <w:pStyle w:val="3"/>
      <w:lvlText w:val="1.1"/>
      <w:lvlJc w:val="left"/>
      <w:pPr>
        <w:ind w:left="0" w:firstLine="0"/>
      </w:pPr>
      <w:rPr>
        <w:rFonts w:hint="default" w:ascii="宋体" w:hAnsi="宋体" w:eastAsia="宋体" w:cs="宋体"/>
      </w:rPr>
    </w:lvl>
    <w:lvl w:ilvl="2" w:tentative="0">
      <w:start w:val="1"/>
      <w:numFmt w:val="decimal"/>
      <w:isLgl/>
      <w:lvlText w:val="%1.%2.%3"/>
      <w:lvlJc w:val="left"/>
      <w:pPr>
        <w:ind w:left="0" w:firstLine="0"/>
      </w:pPr>
      <w:rPr>
        <w:rFonts w:hint="default" w:ascii="宋体" w:hAnsi="宋体" w:eastAsia="宋体" w:cs="宋体"/>
      </w:rPr>
    </w:lvl>
    <w:lvl w:ilvl="3" w:tentative="0">
      <w:start w:val="1"/>
      <w:numFmt w:val="decimal"/>
      <w:isLgl/>
      <w:lvlText w:val="%1.%2.%3.%4"/>
      <w:lvlJc w:val="left"/>
      <w:pPr>
        <w:ind w:left="0" w:firstLine="0"/>
      </w:pPr>
      <w:rPr>
        <w:rFonts w:hint="default" w:ascii="宋体" w:hAnsi="宋体" w:eastAsia="宋体" w:cs="宋体"/>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default" w:ascii="宋体" w:hAnsi="宋体" w:eastAsia="宋体" w:cs="宋体"/>
      </w:rPr>
    </w:lvl>
  </w:abstractNum>
  <w:abstractNum w:abstractNumId="2">
    <w:nsid w:val="B1A5EB42"/>
    <w:multiLevelType w:val="multilevel"/>
    <w:tmpl w:val="B1A5EB42"/>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pStyle w:val="23"/>
      <w:lvlText w:val="%1.%2.%3."/>
      <w:lvlJc w:val="left"/>
      <w:pPr>
        <w:ind w:left="720" w:hanging="720"/>
      </w:pPr>
      <w:rPr>
        <w:rFonts w:hint="default" w:ascii="宋体" w:hAnsi="宋体" w:eastAsia="宋体" w:cs="宋体"/>
      </w:rPr>
    </w:lvl>
    <w:lvl w:ilvl="3" w:tentative="0">
      <w:start w:val="1"/>
      <w:numFmt w:val="decimal"/>
      <w:lvlRestart w:val="0"/>
      <w:pStyle w:val="5"/>
      <w:lvlText w:val="%1.%2.%3.%4."/>
      <w:lvlJc w:val="left"/>
      <w:pPr>
        <w:ind w:left="864" w:hanging="864"/>
      </w:pPr>
      <w:rPr>
        <w:rFonts w:hint="default" w:ascii="宋体" w:hAnsi="宋体" w:eastAsia="宋体" w:cs="宋体"/>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3">
    <w:nsid w:val="CD19BB4C"/>
    <w:multiLevelType w:val="multilevel"/>
    <w:tmpl w:val="CD19BB4C"/>
    <w:lvl w:ilvl="0" w:tentative="0">
      <w:start w:val="1"/>
      <w:numFmt w:val="chineseCountingThousand"/>
      <w:lvlText w:val="第%1章"/>
      <w:lvlJc w:val="left"/>
      <w:pPr>
        <w:ind w:left="0" w:firstLine="0"/>
      </w:pPr>
      <w:rPr>
        <w:rFonts w:hint="eastAsia"/>
      </w:rPr>
    </w:lvl>
    <w:lvl w:ilvl="1" w:tentative="0">
      <w:start w:val="1"/>
      <w:numFmt w:val="decimal"/>
      <w:pStyle w:val="15"/>
      <w:isLgl/>
      <w:lvlText w:val="%1.%2"/>
      <w:lvlJc w:val="left"/>
      <w:pPr>
        <w:ind w:left="0" w:firstLine="0"/>
      </w:pPr>
      <w:rPr>
        <w:rFonts w:hint="eastAsia"/>
      </w:rPr>
    </w:lvl>
    <w:lvl w:ilvl="2" w:tentative="0">
      <w:start w:val="1"/>
      <w:numFmt w:val="decimal"/>
      <w:isLgl/>
      <w:lvlText w:val="%1.%2.%3"/>
      <w:lvlJc w:val="left"/>
      <w:pPr>
        <w:ind w:left="0" w:firstLine="0"/>
      </w:pPr>
      <w:rPr>
        <w:rFonts w:hint="eastAsia" w:ascii="宋体" w:hAnsi="宋体" w:eastAsia="宋体"/>
      </w:rPr>
    </w:lvl>
    <w:lvl w:ilvl="3" w:tentative="0">
      <w:start w:val="1"/>
      <w:numFmt w:val="decimal"/>
      <w:isLgl/>
      <w:lvlText w:val="%1.%2.%3.%4"/>
      <w:lvlJc w:val="left"/>
      <w:pPr>
        <w:ind w:left="0" w:firstLine="0"/>
      </w:pPr>
      <w:rPr>
        <w:rFonts w:hint="eastAsia" w:ascii="宋体" w:hAnsi="宋体" w:eastAsia="宋体"/>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eastAsia"/>
      </w:rPr>
    </w:lvl>
  </w:abstractNum>
  <w:abstractNum w:abstractNumId="4">
    <w:nsid w:val="EDA6FB1E"/>
    <w:multiLevelType w:val="multilevel"/>
    <w:tmpl w:val="EDA6FB1E"/>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pStyle w:val="20"/>
      <w:lvlText w:val="%1.%2.%3."/>
      <w:lvlJc w:val="left"/>
      <w:pPr>
        <w:ind w:left="720" w:hanging="720"/>
      </w:pPr>
      <w:rPr>
        <w:rFonts w:hint="default" w:ascii="宋体" w:hAnsi="宋体" w:eastAsia="宋体" w:cs="宋体"/>
      </w:rPr>
    </w:lvl>
    <w:lvl w:ilvl="3" w:tentative="0">
      <w:start w:val="1"/>
      <w:numFmt w:val="decimal"/>
      <w:lvlRestart w:val="0"/>
      <w:lvlText w:val="%1.%2.%3.%4."/>
      <w:lvlJc w:val="left"/>
      <w:pPr>
        <w:ind w:left="864" w:hanging="864"/>
      </w:pPr>
      <w:rPr>
        <w:rFonts w:hint="default" w:ascii="宋体" w:hAnsi="宋体" w:eastAsia="宋体" w:cs="宋体"/>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5">
    <w:nsid w:val="F40FD95D"/>
    <w:multiLevelType w:val="singleLevel"/>
    <w:tmpl w:val="F40FD95D"/>
    <w:lvl w:ilvl="0" w:tentative="0">
      <w:start w:val="2"/>
      <w:numFmt w:val="decimal"/>
      <w:suff w:val="nothing"/>
      <w:lvlText w:val="%1、"/>
      <w:lvlJc w:val="left"/>
      <w:pPr>
        <w:ind w:left="630" w:firstLine="0"/>
      </w:pPr>
    </w:lvl>
  </w:abstractNum>
  <w:abstractNum w:abstractNumId="6">
    <w:nsid w:val="0F0905F1"/>
    <w:multiLevelType w:val="multilevel"/>
    <w:tmpl w:val="0F0905F1"/>
    <w:lvl w:ilvl="0" w:tentative="0">
      <w:start w:val="1"/>
      <w:numFmt w:val="none"/>
      <w:pStyle w:val="2"/>
      <w:lvlText w:val="第一章%1"/>
      <w:lvlJc w:val="left"/>
      <w:pPr>
        <w:ind w:left="0" w:firstLine="0"/>
      </w:pPr>
      <w:rPr>
        <w:rFonts w:hint="default" w:ascii="宋体" w:hAnsi="宋体" w:eastAsia="宋体" w:cs="宋体"/>
      </w:rPr>
    </w:lvl>
    <w:lvl w:ilvl="1" w:tentative="0">
      <w:start w:val="1"/>
      <w:numFmt w:val="none"/>
      <w:pStyle w:val="22"/>
      <w:lvlText w:val="1.1"/>
      <w:lvlJc w:val="left"/>
      <w:pPr>
        <w:ind w:left="0" w:firstLine="0"/>
      </w:pPr>
      <w:rPr>
        <w:rFonts w:hint="default" w:ascii="宋体" w:hAnsi="宋体" w:eastAsia="宋体" w:cs="宋体"/>
      </w:rPr>
    </w:lvl>
    <w:lvl w:ilvl="2" w:tentative="0">
      <w:start w:val="1"/>
      <w:numFmt w:val="decimal"/>
      <w:isLgl/>
      <w:lvlText w:val="%1.%2.%3"/>
      <w:lvlJc w:val="left"/>
      <w:pPr>
        <w:ind w:left="0" w:firstLine="0"/>
      </w:pPr>
      <w:rPr>
        <w:rFonts w:hint="default" w:ascii="宋体" w:hAnsi="宋体" w:eastAsia="宋体" w:cs="宋体"/>
      </w:rPr>
    </w:lvl>
    <w:lvl w:ilvl="3" w:tentative="0">
      <w:start w:val="1"/>
      <w:numFmt w:val="decimal"/>
      <w:isLgl/>
      <w:lvlText w:val="%1.%2.%3.%4"/>
      <w:lvlJc w:val="left"/>
      <w:pPr>
        <w:ind w:left="0" w:firstLine="0"/>
      </w:pPr>
      <w:rPr>
        <w:rFonts w:hint="default" w:ascii="宋体" w:hAnsi="宋体" w:eastAsia="宋体" w:cs="宋体"/>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default" w:ascii="宋体" w:hAnsi="宋体" w:eastAsia="宋体" w:cs="宋体"/>
      </w:rPr>
    </w:lvl>
  </w:abstractNum>
  <w:abstractNum w:abstractNumId="7">
    <w:nsid w:val="504F14E7"/>
    <w:multiLevelType w:val="multilevel"/>
    <w:tmpl w:val="504F14E7"/>
    <w:lvl w:ilvl="0" w:tentative="0">
      <w:start w:val="1"/>
      <w:numFmt w:val="chineseCountingThousand"/>
      <w:pStyle w:val="18"/>
      <w:lvlText w:val="第%1章"/>
      <w:lvlJc w:val="left"/>
      <w:pPr>
        <w:ind w:left="0" w:firstLine="0"/>
      </w:pPr>
      <w:rPr>
        <w:rFonts w:hint="eastAsia"/>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rPr>
        <w:rFonts w:hint="eastAsia" w:ascii="宋体" w:hAnsi="宋体" w:eastAsia="宋体"/>
      </w:rPr>
    </w:lvl>
    <w:lvl w:ilvl="3" w:tentative="0">
      <w:start w:val="1"/>
      <w:numFmt w:val="decimal"/>
      <w:isLgl/>
      <w:lvlText w:val="%1.%2.%3.%4"/>
      <w:lvlJc w:val="left"/>
      <w:pPr>
        <w:ind w:left="0" w:firstLine="0"/>
      </w:pPr>
      <w:rPr>
        <w:rFonts w:hint="eastAsia" w:ascii="宋体" w:hAnsi="宋体" w:eastAsia="宋体"/>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eastAsia"/>
      </w:rPr>
    </w:lvl>
  </w:abstractNum>
  <w:abstractNum w:abstractNumId="8">
    <w:nsid w:val="6CACCA1F"/>
    <w:multiLevelType w:val="multilevel"/>
    <w:tmpl w:val="6CACCA1F"/>
    <w:lvl w:ilvl="0" w:tentative="0">
      <w:start w:val="1"/>
      <w:numFmt w:val="chineseCountingThousand"/>
      <w:pStyle w:val="17"/>
      <w:lvlText w:val="第%1章"/>
      <w:lvlJc w:val="left"/>
      <w:pPr>
        <w:ind w:left="0" w:firstLine="0"/>
      </w:pPr>
      <w:rPr>
        <w:rFonts w:hint="eastAsia"/>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rPr>
        <w:rFonts w:hint="eastAsia" w:ascii="宋体" w:hAnsi="宋体" w:eastAsia="宋体"/>
      </w:rPr>
    </w:lvl>
    <w:lvl w:ilvl="3" w:tentative="0">
      <w:start w:val="1"/>
      <w:numFmt w:val="decimal"/>
      <w:isLgl/>
      <w:lvlText w:val="%1.%2.%3.%4"/>
      <w:lvlJc w:val="left"/>
      <w:pPr>
        <w:ind w:left="0" w:firstLine="0"/>
      </w:pPr>
      <w:rPr>
        <w:rFonts w:hint="eastAsia" w:ascii="宋体" w:hAnsi="宋体" w:eastAsia="宋体"/>
      </w:rPr>
    </w:lvl>
    <w:lvl w:ilvl="4" w:tentative="0">
      <w:start w:val="1"/>
      <w:numFmt w:val="decimal"/>
      <w:lvlText w:val="(%5)"/>
      <w:lvlJc w:val="left"/>
      <w:pPr>
        <w:ind w:left="3402" w:firstLine="0"/>
      </w:pPr>
      <w:rPr>
        <w:rFonts w:hint="eastAsia"/>
      </w:rPr>
    </w:lvl>
    <w:lvl w:ilvl="5" w:tentative="0">
      <w:start w:val="1"/>
      <w:numFmt w:val="lowerLetter"/>
      <w:lvlText w:val="(%6)"/>
      <w:lvlJc w:val="left"/>
      <w:pPr>
        <w:ind w:left="4252" w:firstLine="0"/>
      </w:pPr>
      <w:rPr>
        <w:rFonts w:hint="eastAsia"/>
      </w:rPr>
    </w:lvl>
    <w:lvl w:ilvl="6" w:tentative="0">
      <w:start w:val="1"/>
      <w:numFmt w:val="lowerRoman"/>
      <w:lvlText w:val="(%7)"/>
      <w:lvlJc w:val="left"/>
      <w:pPr>
        <w:ind w:left="5102" w:firstLine="0"/>
      </w:pPr>
      <w:rPr>
        <w:rFonts w:hint="eastAsia"/>
      </w:rPr>
    </w:lvl>
    <w:lvl w:ilvl="7" w:tentative="0">
      <w:start w:val="1"/>
      <w:numFmt w:val="lowerLetter"/>
      <w:lvlText w:val="(%8)"/>
      <w:lvlJc w:val="left"/>
      <w:pPr>
        <w:ind w:left="5953" w:firstLine="0"/>
      </w:pPr>
      <w:rPr>
        <w:rFonts w:hint="eastAsia"/>
      </w:rPr>
    </w:lvl>
    <w:lvl w:ilvl="8" w:tentative="0">
      <w:start w:val="1"/>
      <w:numFmt w:val="lowerRoman"/>
      <w:lvlText w:val="(%9)"/>
      <w:lvlJc w:val="left"/>
      <w:pPr>
        <w:ind w:left="6803" w:firstLine="0"/>
      </w:pPr>
      <w:rPr>
        <w:rFonts w:hint="eastAsia"/>
      </w:rPr>
    </w:lvl>
  </w:abstractNum>
  <w:abstractNum w:abstractNumId="9">
    <w:nsid w:val="7FA9405B"/>
    <w:multiLevelType w:val="multilevel"/>
    <w:tmpl w:val="7FA9405B"/>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pStyle w:val="16"/>
      <w:lvlText w:val="%1.%2.%3."/>
      <w:lvlJc w:val="left"/>
      <w:pPr>
        <w:ind w:left="720" w:hanging="720"/>
      </w:pPr>
      <w:rPr>
        <w:rFonts w:hint="default" w:ascii="宋体" w:hAnsi="宋体" w:eastAsia="宋体" w:cs="宋体"/>
      </w:rPr>
    </w:lvl>
    <w:lvl w:ilvl="3" w:tentative="0">
      <w:start w:val="1"/>
      <w:numFmt w:val="decimal"/>
      <w:lvlRestart w:val="0"/>
      <w:lvlText w:val="%1.%2.%3.%4."/>
      <w:lvlJc w:val="left"/>
      <w:pPr>
        <w:ind w:left="864" w:hanging="864"/>
      </w:pPr>
      <w:rPr>
        <w:rFonts w:hint="default" w:ascii="宋体" w:hAnsi="宋体" w:eastAsia="宋体" w:cs="宋体"/>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6"/>
  </w:num>
  <w:num w:numId="2">
    <w:abstractNumId w:val="1"/>
  </w:num>
  <w:num w:numId="3">
    <w:abstractNumId w:val="2"/>
  </w:num>
  <w:num w:numId="4">
    <w:abstractNumId w:val="3"/>
  </w:num>
  <w:num w:numId="5">
    <w:abstractNumId w:val="9"/>
  </w:num>
  <w:num w:numId="6">
    <w:abstractNumId w:val="8"/>
  </w:num>
  <w:num w:numId="7">
    <w:abstractNumId w:val="7"/>
  </w:num>
  <w:num w:numId="8">
    <w:abstractNumId w:val="0"/>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xMGRkNTVjYTBlODVjNTljZTM3M2Q5N2RjZjNjODEifQ=="/>
  </w:docVars>
  <w:rsids>
    <w:rsidRoot w:val="39801C2C"/>
    <w:rsid w:val="021F7714"/>
    <w:rsid w:val="076D35C3"/>
    <w:rsid w:val="10DE59BD"/>
    <w:rsid w:val="12881C68"/>
    <w:rsid w:val="12DA6CDD"/>
    <w:rsid w:val="1335442A"/>
    <w:rsid w:val="154442B2"/>
    <w:rsid w:val="18B11491"/>
    <w:rsid w:val="1E761B30"/>
    <w:rsid w:val="1EA91546"/>
    <w:rsid w:val="1EED58B5"/>
    <w:rsid w:val="1FDC2118"/>
    <w:rsid w:val="20557C5E"/>
    <w:rsid w:val="20ED21F1"/>
    <w:rsid w:val="26942327"/>
    <w:rsid w:val="27AF2276"/>
    <w:rsid w:val="284D6C43"/>
    <w:rsid w:val="29DC42D9"/>
    <w:rsid w:val="2ADC44DE"/>
    <w:rsid w:val="3490203B"/>
    <w:rsid w:val="350C0848"/>
    <w:rsid w:val="352E3D28"/>
    <w:rsid w:val="39801C2C"/>
    <w:rsid w:val="3B1B03E2"/>
    <w:rsid w:val="3C3A49BB"/>
    <w:rsid w:val="3E0C7A1D"/>
    <w:rsid w:val="3F51400A"/>
    <w:rsid w:val="423240AD"/>
    <w:rsid w:val="43081BD1"/>
    <w:rsid w:val="44143C5E"/>
    <w:rsid w:val="44754337"/>
    <w:rsid w:val="48B36C73"/>
    <w:rsid w:val="4A052289"/>
    <w:rsid w:val="4D3C3BF4"/>
    <w:rsid w:val="4FA91872"/>
    <w:rsid w:val="52796FD3"/>
    <w:rsid w:val="54890697"/>
    <w:rsid w:val="56C82913"/>
    <w:rsid w:val="58DF1D91"/>
    <w:rsid w:val="59550245"/>
    <w:rsid w:val="60854409"/>
    <w:rsid w:val="616F09C8"/>
    <w:rsid w:val="6A246396"/>
    <w:rsid w:val="6F7E30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numPr>
        <w:ilvl w:val="1"/>
        <w:numId w:val="2"/>
      </w:numPr>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keepNext/>
      <w:keepLines/>
      <w:spacing w:before="260" w:after="260" w:line="416" w:lineRule="auto"/>
      <w:jc w:val="left"/>
      <w:outlineLvl w:val="2"/>
    </w:pPr>
    <w:rPr>
      <w:rFonts w:ascii="宋体" w:hAnsi="宋体" w:eastAsia="宋体" w:cs="Times New Roman"/>
      <w:b/>
      <w:bCs/>
      <w:sz w:val="28"/>
      <w:szCs w:val="32"/>
    </w:rPr>
  </w:style>
  <w:style w:type="paragraph" w:styleId="5">
    <w:name w:val="heading 4"/>
    <w:basedOn w:val="1"/>
    <w:next w:val="1"/>
    <w:semiHidden/>
    <w:unhideWhenUsed/>
    <w:qFormat/>
    <w:uiPriority w:val="0"/>
    <w:pPr>
      <w:keepNext/>
      <w:keepLines/>
      <w:numPr>
        <w:ilvl w:val="3"/>
        <w:numId w:val="3"/>
      </w:numPr>
      <w:spacing w:before="280" w:beforeLines="0" w:beforeAutospacing="0" w:after="290" w:afterLines="0" w:afterAutospacing="0" w:line="372" w:lineRule="auto"/>
      <w:ind w:left="864" w:hanging="864"/>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3"/>
      </w:numPr>
      <w:spacing w:before="280" w:beforeLines="0" w:beforeAutospacing="0" w:after="290" w:afterLines="0" w:afterAutospacing="0" w:line="372" w:lineRule="auto"/>
      <w:ind w:left="1008" w:hanging="1008"/>
      <w:outlineLvl w:val="4"/>
    </w:pPr>
    <w:rPr>
      <w:b/>
      <w:sz w:val="28"/>
    </w:rPr>
  </w:style>
  <w:style w:type="paragraph" w:styleId="7">
    <w:name w:val="heading 6"/>
    <w:basedOn w:val="1"/>
    <w:next w:val="1"/>
    <w:semiHidden/>
    <w:unhideWhenUsed/>
    <w:qFormat/>
    <w:uiPriority w:val="0"/>
    <w:pPr>
      <w:keepNext/>
      <w:keepLines/>
      <w:numPr>
        <w:ilvl w:val="5"/>
        <w:numId w:val="3"/>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3"/>
      </w:numPr>
      <w:spacing w:before="240" w:beforeLines="0" w:beforeAutospacing="0" w:after="64" w:afterLines="0" w:afterAutospacing="0" w:line="317" w:lineRule="auto"/>
      <w:ind w:left="1296" w:hanging="1296"/>
      <w:outlineLvl w:val="6"/>
    </w:pPr>
    <w:rPr>
      <w:b/>
      <w:sz w:val="24"/>
    </w:rPr>
  </w:style>
  <w:style w:type="paragraph" w:styleId="9">
    <w:name w:val="heading 8"/>
    <w:basedOn w:val="1"/>
    <w:next w:val="1"/>
    <w:semiHidden/>
    <w:unhideWhenUsed/>
    <w:qFormat/>
    <w:uiPriority w:val="0"/>
    <w:pPr>
      <w:keepNext/>
      <w:keepLines/>
      <w:numPr>
        <w:ilvl w:val="7"/>
        <w:numId w:val="3"/>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3"/>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11">
    <w:name w:val="Normal (Web)"/>
    <w:basedOn w:val="1"/>
    <w:qFormat/>
    <w:uiPriority w:val="0"/>
    <w:pPr>
      <w:spacing w:beforeAutospacing="1" w:afterAutospacing="1"/>
      <w:jc w:val="left"/>
    </w:pPr>
    <w:rPr>
      <w:rFonts w:cs="Times New Roman"/>
      <w:kern w:val="0"/>
      <w:sz w:val="24"/>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样式2"/>
    <w:basedOn w:val="3"/>
    <w:next w:val="1"/>
    <w:qFormat/>
    <w:uiPriority w:val="0"/>
    <w:pPr>
      <w:numPr>
        <w:ilvl w:val="1"/>
        <w:numId w:val="4"/>
      </w:numPr>
    </w:pPr>
    <w:rPr>
      <w:rFonts w:ascii="Calibri Light" w:hAnsi="Calibri Light"/>
      <w:bCs/>
      <w:sz w:val="30"/>
      <w:szCs w:val="32"/>
    </w:rPr>
  </w:style>
  <w:style w:type="paragraph" w:customStyle="1" w:styleId="16">
    <w:name w:val="样式3"/>
    <w:basedOn w:val="4"/>
    <w:next w:val="1"/>
    <w:qFormat/>
    <w:uiPriority w:val="0"/>
    <w:pPr>
      <w:numPr>
        <w:ilvl w:val="2"/>
        <w:numId w:val="5"/>
      </w:numPr>
    </w:pPr>
    <w:rPr>
      <w:rFonts w:ascii="Calibri" w:hAnsi="Calibri"/>
      <w:sz w:val="30"/>
      <w:szCs w:val="32"/>
    </w:rPr>
  </w:style>
  <w:style w:type="paragraph" w:customStyle="1" w:styleId="17">
    <w:name w:val="样式4"/>
    <w:basedOn w:val="2"/>
    <w:next w:val="1"/>
    <w:qFormat/>
    <w:uiPriority w:val="0"/>
    <w:pPr>
      <w:numPr>
        <w:numId w:val="6"/>
      </w:numPr>
      <w:jc w:val="center"/>
    </w:pPr>
    <w:rPr>
      <w:rFonts w:ascii="Calibri" w:hAnsi="Calibri"/>
      <w:bCs/>
      <w:szCs w:val="44"/>
    </w:rPr>
  </w:style>
  <w:style w:type="paragraph" w:customStyle="1" w:styleId="18">
    <w:name w:val="大标题"/>
    <w:basedOn w:val="2"/>
    <w:next w:val="15"/>
    <w:qFormat/>
    <w:uiPriority w:val="0"/>
    <w:pPr>
      <w:numPr>
        <w:numId w:val="7"/>
      </w:numPr>
      <w:spacing w:line="360" w:lineRule="auto"/>
      <w:jc w:val="center"/>
    </w:pPr>
    <w:rPr>
      <w:rFonts w:ascii="Calibri" w:hAnsi="Calibri"/>
      <w:bCs/>
      <w:sz w:val="36"/>
      <w:szCs w:val="44"/>
    </w:rPr>
  </w:style>
  <w:style w:type="paragraph" w:customStyle="1" w:styleId="19">
    <w:name w:val="样式5"/>
    <w:basedOn w:val="4"/>
    <w:next w:val="1"/>
    <w:qFormat/>
    <w:uiPriority w:val="0"/>
    <w:pPr>
      <w:numPr>
        <w:ilvl w:val="2"/>
        <w:numId w:val="8"/>
      </w:numPr>
    </w:pPr>
    <w:rPr>
      <w:rFonts w:ascii="Calibri" w:hAnsi="Calibri"/>
      <w:szCs w:val="32"/>
    </w:rPr>
  </w:style>
  <w:style w:type="paragraph" w:customStyle="1" w:styleId="20">
    <w:name w:val="样式7"/>
    <w:basedOn w:val="4"/>
    <w:next w:val="1"/>
    <w:qFormat/>
    <w:uiPriority w:val="0"/>
    <w:pPr>
      <w:numPr>
        <w:ilvl w:val="2"/>
        <w:numId w:val="9"/>
      </w:numPr>
    </w:pPr>
    <w:rPr>
      <w:rFonts w:ascii="Calibri" w:hAnsi="Calibri"/>
      <w:szCs w:val="32"/>
    </w:rPr>
  </w:style>
  <w:style w:type="paragraph" w:customStyle="1" w:styleId="21">
    <w:name w:val="章节"/>
    <w:basedOn w:val="2"/>
    <w:next w:val="3"/>
    <w:qFormat/>
    <w:uiPriority w:val="0"/>
    <w:pPr>
      <w:numPr>
        <w:numId w:val="2"/>
      </w:numPr>
      <w:jc w:val="center"/>
    </w:pPr>
    <w:rPr>
      <w:rFonts w:ascii="Calibri" w:hAnsi="Calibri"/>
      <w:bCs/>
      <w:szCs w:val="44"/>
    </w:rPr>
  </w:style>
  <w:style w:type="paragraph" w:customStyle="1" w:styleId="22">
    <w:name w:val="二节"/>
    <w:basedOn w:val="3"/>
    <w:next w:val="4"/>
    <w:qFormat/>
    <w:uiPriority w:val="0"/>
    <w:pPr>
      <w:numPr>
        <w:numId w:val="1"/>
      </w:numPr>
      <w:jc w:val="center"/>
    </w:pPr>
    <w:rPr>
      <w:rFonts w:ascii="Calibri Light" w:hAnsi="Calibri Light"/>
      <w:bCs/>
      <w:szCs w:val="32"/>
    </w:rPr>
  </w:style>
  <w:style w:type="paragraph" w:customStyle="1" w:styleId="23">
    <w:name w:val="三节"/>
    <w:basedOn w:val="4"/>
    <w:next w:val="1"/>
    <w:qFormat/>
    <w:uiPriority w:val="0"/>
    <w:pPr>
      <w:numPr>
        <w:ilvl w:val="2"/>
        <w:numId w:val="3"/>
      </w:numPr>
      <w:jc w:val="center"/>
    </w:pPr>
    <w:rPr>
      <w:rFonts w:ascii="Calibri" w:hAnsi="Calibri"/>
      <w:szCs w:val="32"/>
    </w:rPr>
  </w:style>
  <w:style w:type="paragraph" w:styleId="24">
    <w:name w:val="List Paragraph"/>
    <w:basedOn w:val="1"/>
    <w:qFormat/>
    <w:uiPriority w:val="34"/>
    <w:pPr>
      <w:widowControl w:val="0"/>
      <w:adjustRightInd/>
      <w:snapToGrid/>
      <w:spacing w:after="0"/>
      <w:ind w:firstLine="420" w:firstLineChars="200"/>
      <w:jc w:val="both"/>
    </w:pPr>
    <w:rPr>
      <w:rFonts w:asciiTheme="minorHAnsi" w:hAnsiTheme="minorHAnsi" w:eastAsiaTheme="minorEastAsia"/>
      <w:kern w:val="2"/>
      <w:sz w:val="21"/>
    </w:rPr>
  </w:style>
  <w:style w:type="paragraph" w:customStyle="1" w:styleId="25">
    <w:name w:val="无间隔1"/>
    <w:basedOn w:val="1"/>
    <w:qFormat/>
    <w:uiPriority w:val="1"/>
    <w:pPr>
      <w:widowControl w:val="0"/>
      <w:adjustRightInd/>
      <w:snapToGrid/>
      <w:spacing w:after="0" w:line="400" w:lineRule="exact"/>
      <w:jc w:val="both"/>
    </w:pPr>
    <w:rPr>
      <w:rFonts w:ascii="Times New Roman" w:hAnsi="Times New Roman" w:eastAsia="宋体" w:cs="Times New Roman"/>
      <w:kern w:val="2"/>
      <w:sz w:val="24"/>
      <w:szCs w:val="24"/>
    </w:rPr>
  </w:style>
  <w:style w:type="paragraph" w:customStyle="1" w:styleId="26">
    <w:name w:val="普通 (Web)"/>
    <w:basedOn w:val="1"/>
    <w:qFormat/>
    <w:uiPriority w:val="0"/>
    <w:pPr>
      <w:widowControl/>
      <w:spacing w:before="100" w:beforeAutospacing="1" w:after="100" w:afterAutospacing="1"/>
      <w:jc w:val="left"/>
    </w:pPr>
    <w:rPr>
      <w:rFonts w:ascii="宋体" w:hAnsi="宋体"/>
      <w:kern w:val="0"/>
      <w:sz w:val="24"/>
    </w:rPr>
  </w:style>
  <w:style w:type="table" w:customStyle="1" w:styleId="2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7989</Words>
  <Characters>9445</Characters>
  <Lines>0</Lines>
  <Paragraphs>0</Paragraphs>
  <TotalTime>174</TotalTime>
  <ScaleCrop>false</ScaleCrop>
  <LinksUpToDate>false</LinksUpToDate>
  <CharactersWithSpaces>9844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2024-09-06T02:13:00Z</dcterms:created>
  <dc:creator>张辉</dc:creator>
  <cp:lastModifiedBy>迷人</cp:lastModifiedBy>
  <dcterms:modified xsi:type="dcterms:W3CDTF">2025-06-17T09:19:44Z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39C351242F9C476FA347DD1763769B5A_13</vt:lpwstr>
  </property>
  <property fmtid="{D5CDD505-2E9C-101B-9397-08002B2CF9AE}" pid="4" name="KSOTemplateDocerSaveRecord">
    <vt:lpwstr>eyJoZGlkIjoiNzcxMGRkNTVjYTBlODVjNTljZTM3M2Q5N2RjZjNjODEiLCJ1c2VySWQiOiIyMzc3OTQ3NDYifQ==</vt:lpwstr>
  </property>
</Properties>
</file>